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58" w:rsidRDefault="001A5158" w:rsidP="007F5C5D">
      <w:pPr>
        <w:tabs>
          <w:tab w:val="left" w:pos="2562"/>
        </w:tabs>
      </w:pPr>
    </w:p>
    <w:p w:rsidR="005B1AEA" w:rsidRPr="005948E9" w:rsidRDefault="00AF35CD" w:rsidP="005B1A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1449070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A1" w:rsidRPr="00262D3A" w:rsidRDefault="006978A1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:rsidR="006978A1" w:rsidRDefault="006978A1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National-août 2021</w:t>
                            </w:r>
                          </w:p>
                          <w:p w:rsidR="006978A1" w:rsidRDefault="006978A1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78A1" w:rsidRDefault="006978A1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78A1" w:rsidRDefault="006978A1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78A1" w:rsidRPr="00262D3A" w:rsidRDefault="006978A1" w:rsidP="00367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5pt;margin-top:114.1pt;width:498.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">
                <v:textbox>
                  <w:txbxContent>
                    <w:p w:rsidR="006978A1" w:rsidRPr="00262D3A" w:rsidRDefault="006978A1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:rsidR="006978A1" w:rsidRDefault="006978A1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National-août 2021</w:t>
                      </w:r>
                    </w:p>
                    <w:p w:rsidR="006978A1" w:rsidRDefault="006978A1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978A1" w:rsidRDefault="006978A1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978A1" w:rsidRDefault="006978A1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978A1" w:rsidRPr="00262D3A" w:rsidRDefault="006978A1" w:rsidP="00367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158">
        <w:t xml:space="preserve">       </w:t>
      </w:r>
      <w:r w:rsidR="005B1AEA">
        <w:rPr>
          <w:noProof/>
          <w:lang w:eastAsia="fr-FR"/>
        </w:rPr>
        <w:drawing>
          <wp:inline distT="0" distB="0" distL="0" distR="0" wp14:anchorId="0DF1ADA3" wp14:editId="0B9EF4E6">
            <wp:extent cx="3273425" cy="839973"/>
            <wp:effectExtent l="0" t="0" r="0" b="0"/>
            <wp:docPr id="1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5761" cy="8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8255</wp:posOffset>
                </wp:positionV>
                <wp:extent cx="3004820" cy="733425"/>
                <wp:effectExtent l="0" t="0" r="5080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8A1" w:rsidRPr="000F3E50" w:rsidRDefault="006978A1" w:rsidP="005B1AE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Tél : 2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1 30 10 20 – Fax : 21 30 18 51</w:t>
                            </w:r>
                          </w:p>
                          <w:p w:rsidR="006978A1" w:rsidRPr="000F3E50" w:rsidRDefault="006978A1" w:rsidP="005B1AE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 xml:space="preserve">01 BP ; 302 </w:t>
                            </w:r>
                            <w:r w:rsidRPr="000F3E5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COTONOU – ROUTE DE L’AEROPORT</w:t>
                            </w:r>
                          </w:p>
                          <w:p w:rsidR="006978A1" w:rsidRPr="000F3E50" w:rsidRDefault="006978A1" w:rsidP="005B1AE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www.finances.bj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margin-left:267.15pt;margin-top:.65pt;width:236.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6978A1" w:rsidRPr="000F3E50" w:rsidRDefault="006978A1" w:rsidP="005B1AEA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Tél : 2</w:t>
                      </w:r>
                      <w:r>
                        <w:rPr>
                          <w:rFonts w:ascii="Segoe UI" w:hAnsi="Segoe UI" w:cs="Segoe UI"/>
                        </w:rPr>
                        <w:t>1 30 10 20 – Fax : 21 30 18 51</w:t>
                      </w:r>
                    </w:p>
                    <w:p w:rsidR="006978A1" w:rsidRPr="000F3E50" w:rsidRDefault="006978A1" w:rsidP="005B1AEA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 xml:space="preserve">01 BP ; 302 </w:t>
                      </w:r>
                      <w:r w:rsidRPr="000F3E5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COTONOU – ROUTE DE L’AEROPORT</w:t>
                      </w:r>
                    </w:p>
                    <w:p w:rsidR="006978A1" w:rsidRPr="000F3E50" w:rsidRDefault="006978A1" w:rsidP="005B1AEA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www.finances.bj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5B1AEA" w:rsidRPr="005948E9" w:rsidTr="005B1AEA">
        <w:trPr>
          <w:trHeight w:val="1451"/>
        </w:trPr>
        <w:tc>
          <w:tcPr>
            <w:tcW w:w="9901" w:type="dxa"/>
          </w:tcPr>
          <w:tbl>
            <w:tblPr>
              <w:tblStyle w:val="Grilledutableau"/>
              <w:tblpPr w:leftFromText="141" w:rightFromText="141" w:vertAnchor="text" w:horzAnchor="margin" w:tblpY="-245"/>
              <w:tblOverlap w:val="never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0"/>
              <w:gridCol w:w="809"/>
              <w:gridCol w:w="3314"/>
            </w:tblGrid>
            <w:tr w:rsidR="005B1AEA" w:rsidTr="005B1AEA">
              <w:trPr>
                <w:trHeight w:val="258"/>
              </w:trPr>
              <w:tc>
                <w:tcPr>
                  <w:tcW w:w="2869" w:type="pct"/>
                </w:tcPr>
                <w:p w:rsidR="005B1AEA" w:rsidRDefault="005B1AEA" w:rsidP="005B1AEA">
                  <w:pPr>
                    <w:jc w:val="center"/>
                    <w:rPr>
                      <w:rFonts w:ascii="Trebuchet MS" w:hAnsi="Trebuchet MS"/>
                      <w:b/>
                      <w:bCs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      </w:t>
                  </w:r>
                  <w:r w:rsidRPr="00F02A9B">
                    <w:rPr>
                      <w:rFonts w:ascii="Trebuchet MS" w:hAnsi="Trebuchet MS"/>
                      <w:b/>
                      <w:bCs/>
                      <w:szCs w:val="26"/>
                    </w:rPr>
                    <w:t>INST</w:t>
                  </w:r>
                  <w:r>
                    <w:rPr>
                      <w:rFonts w:ascii="Trebuchet MS" w:hAnsi="Trebuchet MS"/>
                      <w:b/>
                      <w:bCs/>
                      <w:szCs w:val="26"/>
                    </w:rPr>
                    <w:t>ITUT NATIONAL DE LA STATISTIQUE</w:t>
                  </w:r>
                </w:p>
                <w:p w:rsidR="005B1AEA" w:rsidRPr="002D3BB8" w:rsidRDefault="001338AA" w:rsidP="005B1AEA">
                  <w:pPr>
                    <w:jc w:val="center"/>
                    <w:rPr>
                      <w:rFonts w:ascii="Trebuchet MS" w:hAnsi="Trebuchet MS"/>
                      <w:b/>
                      <w:bCs/>
                      <w:szCs w:val="26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bCs/>
                      <w:szCs w:val="26"/>
                    </w:rPr>
                    <w:t xml:space="preserve">           </w:t>
                  </w:r>
                  <w:r w:rsidR="00ED1B69">
                    <w:rPr>
                      <w:rFonts w:ascii="Trebuchet MS" w:hAnsi="Trebuchet MS"/>
                      <w:b/>
                      <w:bCs/>
                      <w:szCs w:val="26"/>
                    </w:rPr>
                    <w:t>ET</w:t>
                  </w:r>
                  <w:r w:rsidR="005B1AEA">
                    <w:rPr>
                      <w:rFonts w:ascii="Trebuchet MS" w:hAnsi="Trebuchet MS"/>
                      <w:b/>
                      <w:bCs/>
                      <w:szCs w:val="26"/>
                    </w:rPr>
                    <w:t xml:space="preserve"> DE LA DEMOGRAPHIE</w:t>
                  </w:r>
                </w:p>
              </w:tc>
              <w:tc>
                <w:tcPr>
                  <w:tcW w:w="418" w:type="pct"/>
                </w:tcPr>
                <w:p w:rsidR="005B1AEA" w:rsidRPr="00E83DCD" w:rsidRDefault="005B1AEA" w:rsidP="005B1AEA">
                  <w:pPr>
                    <w:ind w:left="1731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713" w:type="pct"/>
                </w:tcPr>
                <w:p w:rsidR="005B1AEA" w:rsidRDefault="005B1AEA" w:rsidP="005B1AEA">
                  <w:pPr>
                    <w:rPr>
                      <w:rFonts w:ascii="Trebuchet MS" w:hAnsi="Trebuchet MS"/>
                      <w:bCs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</w:tc>
      </w:tr>
    </w:tbl>
    <w:p w:rsidR="003671B8" w:rsidRDefault="003671B8" w:rsidP="003671B8">
      <w:pPr>
        <w:rPr>
          <w:sz w:val="4"/>
          <w:szCs w:val="4"/>
        </w:rPr>
      </w:pPr>
    </w:p>
    <w:p w:rsidR="00F30DB9" w:rsidRDefault="00F30DB9" w:rsidP="003671B8">
      <w:pPr>
        <w:rPr>
          <w:sz w:val="4"/>
          <w:szCs w:val="4"/>
        </w:rPr>
      </w:pPr>
    </w:p>
    <w:p w:rsidR="00F30DB9" w:rsidRPr="00B62E70" w:rsidRDefault="00F30DB9" w:rsidP="003671B8">
      <w:pPr>
        <w:rPr>
          <w:sz w:val="4"/>
          <w:szCs w:val="4"/>
        </w:rPr>
      </w:pPr>
    </w:p>
    <w:p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:rsidR="003671B8" w:rsidRPr="00262D3A" w:rsidRDefault="00C44A29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</w:t>
      </w:r>
      <w:proofErr w:type="spellStart"/>
      <w:r>
        <w:rPr>
          <w:rFonts w:ascii="Times New Roman" w:hAnsi="Times New Roman" w:cs="Times New Roman"/>
          <w:sz w:val="19"/>
          <w:szCs w:val="19"/>
        </w:rPr>
        <w:t>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proofErr w:type="spellEnd"/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>proviennent de l’Enquête Modulaire Intégrée sur les Conditions de Vie des Ménages réalisée en  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Ouémé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</w:t>
      </w:r>
      <w:proofErr w:type="spellStart"/>
      <w:r w:rsidR="00016DCE">
        <w:rPr>
          <w:rFonts w:ascii="Times New Roman" w:hAnsi="Times New Roman" w:cs="Times New Roman"/>
          <w:sz w:val="19"/>
          <w:szCs w:val="19"/>
        </w:rPr>
        <w:t>INStaD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3671B8" w:rsidRPr="00262D3A" w:rsidRDefault="003671B8" w:rsidP="003671B8">
      <w:pPr>
        <w:rPr>
          <w:rFonts w:ascii="Times New Roman" w:hAnsi="Times New Roman" w:cs="Times New Roman"/>
        </w:rPr>
      </w:pPr>
    </w:p>
    <w:p w:rsidR="003671B8" w:rsidRPr="00262D3A" w:rsidRDefault="003671B8" w:rsidP="003671B8">
      <w:pPr>
        <w:spacing w:line="312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suivant les fonctions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L’Indice Harmonisé des Prix à la Consommat</w:t>
      </w:r>
      <w:r w:rsidR="00EF7E1C">
        <w:rPr>
          <w:rFonts w:ascii="Times New Roman" w:hAnsi="Times New Roman" w:cs="Times New Roman"/>
          <w:bCs/>
          <w:i/>
          <w:iCs/>
          <w:sz w:val="23"/>
          <w:szCs w:val="23"/>
        </w:rPr>
        <w:t>io</w:t>
      </w:r>
      <w:r w:rsidR="00F15652">
        <w:rPr>
          <w:rFonts w:ascii="Times New Roman" w:hAnsi="Times New Roman" w:cs="Times New Roman"/>
          <w:bCs/>
          <w:i/>
          <w:iCs/>
          <w:sz w:val="23"/>
          <w:szCs w:val="23"/>
        </w:rPr>
        <w:t>n du mois d’août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2021 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>a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enregistré une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205E72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1,8</w:t>
      </w:r>
      <w:r w:rsidR="005E043E" w:rsidRPr="001D72D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% 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>par rapport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celui du mois précédent </w:t>
      </w:r>
      <w:r w:rsidR="001D72D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pour ressortir </w:t>
      </w:r>
      <w:r w:rsidR="00205E7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</w:t>
      </w:r>
      <w:r w:rsidR="00205E72" w:rsidRPr="00F1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106</w:t>
      </w:r>
      <w:r w:rsidR="00730DD7" w:rsidRPr="00F1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,</w:t>
      </w:r>
      <w:r w:rsidR="00205E72" w:rsidRPr="00F1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3</w:t>
      </w:r>
      <w:r w:rsidR="00730DD7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D97D76" w:rsidRDefault="0015093E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Ce</w:t>
      </w:r>
      <w:r w:rsidR="001D3E2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repli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>de l’indice e</w:t>
      </w:r>
      <w:r w:rsidR="003A1AB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st imputable essentiellement à la diminution </w:t>
      </w:r>
      <w:r w:rsidR="00C8345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prix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biens </w:t>
      </w:r>
      <w:r w:rsidR="00BF01E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</w:t>
      </w:r>
      <w:r w:rsidR="00C8345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fonction</w:t>
      </w:r>
      <w:r w:rsidR="00BF01EA">
        <w:rPr>
          <w:rFonts w:ascii="Times New Roman" w:hAnsi="Times New Roman" w:cs="Times New Roman"/>
          <w:bCs/>
          <w:i/>
          <w:iCs/>
          <w:sz w:val="23"/>
          <w:szCs w:val="23"/>
        </w:rPr>
        <w:t>s</w:t>
      </w:r>
      <w:r w:rsidR="00FE107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83454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Produits alimentaires et boissons non alcoolisées</w:t>
      </w:r>
      <w:r w:rsidR="00530285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 »</w:t>
      </w:r>
      <w:r w:rsidR="00205E7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(-4,3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C83454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3A1ABA" w:rsidRPr="003A1ABA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Les groupes de biens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dont les prix ont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essentiellement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contribué à cette </w:t>
      </w:r>
      <w:r w:rsidR="00DD2EB2"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sont :</w:t>
      </w:r>
    </w:p>
    <w:p w:rsidR="00205E72" w:rsidRPr="00205E72" w:rsidRDefault="00205E72" w:rsidP="00367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Légumes frais en fruits ou racine » </w:t>
      </w:r>
      <w:r w:rsidR="00E878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(-38,0</w:t>
      </w:r>
      <w:r w:rsidRPr="00202859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raison de la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disponibilité de la tomate fraîche locale dans les marchés </w:t>
      </w: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DD2EB2" w:rsidRDefault="00DD2EB2" w:rsidP="00367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Agrumes 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E878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-11,5</w:t>
      </w:r>
      <w:r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202859">
        <w:rPr>
          <w:rFonts w:ascii="Times New Roman" w:hAnsi="Times New Roman" w:cs="Times New Roman"/>
          <w:bCs/>
          <w:i/>
          <w:iCs/>
          <w:sz w:val="23"/>
          <w:szCs w:val="23"/>
        </w:rPr>
        <w:t>à cause de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saison de l’orange et du citron</w:t>
      </w: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:rsidR="00B20B3B" w:rsidRDefault="005A50B8" w:rsidP="00B20B3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705EFF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Sel et épices 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(-4</w:t>
      </w:r>
      <w:r w:rsidR="00B20B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,1</w:t>
      </w:r>
      <w:r w:rsidR="00CC763B"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CC76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CC763B"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C763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lien avec 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</w:t>
      </w:r>
      <w:r w:rsidR="00287649">
        <w:rPr>
          <w:rFonts w:ascii="Times New Roman" w:hAnsi="Times New Roman" w:cs="Times New Roman"/>
          <w:bCs/>
          <w:i/>
          <w:iCs/>
          <w:sz w:val="23"/>
          <w:szCs w:val="23"/>
        </w:rPr>
        <w:t>saison</w:t>
      </w:r>
      <w:r w:rsid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>du piment</w:t>
      </w:r>
      <w:r w:rsidR="0028764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="00B20B3B"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:rsidR="005A50B8" w:rsidRDefault="005A50B8" w:rsidP="005A50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5A50B8">
        <w:rPr>
          <w:rFonts w:ascii="Times New Roman" w:hAnsi="Times New Roman" w:cs="Times New Roman"/>
          <w:bCs/>
          <w:i/>
          <w:iCs/>
          <w:sz w:val="23"/>
          <w:szCs w:val="23"/>
        </w:rPr>
        <w:t>L’évolution observée sur le mois a été modérée par la hausse des prix des groupes de produits :</w:t>
      </w:r>
    </w:p>
    <w:p w:rsidR="00287649" w:rsidRDefault="00B20B3B" w:rsidP="00287649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Céréales non transformées » </w:t>
      </w:r>
      <w:r w:rsidR="005A50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(+2,1</w:t>
      </w:r>
      <w:r w:rsidRPr="001D48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5A50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raison de la hausse </w:t>
      </w:r>
      <w:r w:rsidR="00592158">
        <w:rPr>
          <w:rFonts w:ascii="Times New Roman" w:hAnsi="Times New Roman" w:cs="Times New Roman"/>
          <w:bCs/>
          <w:i/>
          <w:iCs/>
          <w:sz w:val="23"/>
          <w:szCs w:val="23"/>
        </w:rPr>
        <w:t>des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prix </w:t>
      </w:r>
      <w:r w:rsidR="0059215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du 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>maïs séché</w:t>
      </w:r>
      <w:r w:rsidR="005A50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du mil en grain</w:t>
      </w:r>
      <w:r w:rsidR="00D532F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lié</w:t>
      </w:r>
      <w:r w:rsidR="005A50B8">
        <w:rPr>
          <w:rFonts w:ascii="Times New Roman" w:hAnsi="Times New Roman" w:cs="Times New Roman"/>
          <w:bCs/>
          <w:i/>
          <w:iCs/>
          <w:sz w:val="23"/>
          <w:szCs w:val="23"/>
        </w:rPr>
        <w:t>e à la saison ;</w:t>
      </w:r>
    </w:p>
    <w:p w:rsidR="00651BB0" w:rsidRPr="00287649" w:rsidRDefault="00651BB0" w:rsidP="00287649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8764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Légumes secs et </w:t>
      </w:r>
      <w:proofErr w:type="spellStart"/>
      <w:r w:rsidRPr="00287649">
        <w:rPr>
          <w:rFonts w:ascii="Times New Roman" w:hAnsi="Times New Roman" w:cs="Times New Roman"/>
          <w:bCs/>
          <w:i/>
          <w:iCs/>
          <w:sz w:val="23"/>
          <w:szCs w:val="23"/>
        </w:rPr>
        <w:t>oleagineux</w:t>
      </w:r>
      <w:proofErr w:type="spellEnd"/>
      <w:r w:rsidRPr="0028764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» </w:t>
      </w:r>
      <w:r w:rsidR="005A50B8" w:rsidRPr="002876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(+7,5</w:t>
      </w:r>
      <w:r w:rsidRPr="002876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287649">
        <w:rPr>
          <w:rFonts w:ascii="Times New Roman" w:hAnsi="Times New Roman" w:cs="Times New Roman"/>
          <w:bCs/>
          <w:iCs/>
          <w:sz w:val="23"/>
          <w:szCs w:val="23"/>
        </w:rPr>
        <w:t xml:space="preserve">, </w:t>
      </w:r>
      <w:r w:rsidRPr="00287649">
        <w:rPr>
          <w:rFonts w:ascii="Times New Roman" w:hAnsi="Times New Roman" w:cs="Times New Roman"/>
          <w:bCs/>
          <w:i/>
          <w:iCs/>
          <w:sz w:val="23"/>
          <w:szCs w:val="23"/>
        </w:rPr>
        <w:t>à cause de la rareté du haricot blanc et du cassoulet.</w:t>
      </w:r>
    </w:p>
    <w:p w:rsidR="00D2566D" w:rsidRPr="00262D3A" w:rsidRDefault="00D2566D" w:rsidP="00D2566D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en glissement semestriel</w:t>
      </w:r>
    </w:p>
    <w:p w:rsidR="00D2566D" w:rsidRPr="00D2566D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comparaison à </w:t>
      </w:r>
      <w:r w:rsidR="00287649">
        <w:rPr>
          <w:rFonts w:ascii="Times New Roman" w:hAnsi="Times New Roman" w:cs="Times New Roman"/>
          <w:bCs/>
          <w:i/>
          <w:iCs/>
          <w:sz w:val="23"/>
          <w:szCs w:val="23"/>
        </w:rPr>
        <w:t>février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</w:t>
      </w:r>
      <w:r w:rsidR="00651BB0">
        <w:rPr>
          <w:rFonts w:ascii="Times New Roman" w:hAnsi="Times New Roman" w:cs="Times New Roman"/>
          <w:bCs/>
          <w:i/>
          <w:iCs/>
          <w:sz w:val="23"/>
          <w:szCs w:val="23"/>
        </w:rPr>
        <w:t>1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les prix ont augmenté de </w:t>
      </w:r>
      <w:r w:rsidR="002876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3,9</w:t>
      </w:r>
      <w:r w:rsidRPr="00D2566D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520570" w:rsidRPr="00520570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en glissement annuel</w:t>
      </w:r>
    </w:p>
    <w:p w:rsidR="000A06CD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Par rapport à </w:t>
      </w:r>
      <w:r w:rsidR="00287649">
        <w:rPr>
          <w:rFonts w:ascii="Times New Roman" w:hAnsi="Times New Roman" w:cs="Times New Roman"/>
          <w:bCs/>
          <w:i/>
          <w:iCs/>
          <w:sz w:val="23"/>
          <w:szCs w:val="23"/>
        </w:rPr>
        <w:t>août</w:t>
      </w:r>
      <w:r w:rsidR="009A47B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2020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la variation de l’IHPC est de </w:t>
      </w:r>
      <w:r w:rsidR="00C15A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2876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1,4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E61568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contre </w:t>
      </w:r>
      <w:r w:rsidR="00286C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2876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2,7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467D5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>un mois plus tôt.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IHPC suivant la nature et l’origine du produit 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Par r</w:t>
      </w:r>
      <w:r w:rsidR="00955E4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apport à la nature des produits 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:</w:t>
      </w:r>
    </w:p>
    <w:p w:rsidR="003671B8" w:rsidRPr="00262D3A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en variation mensuelle, les prix des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produits frais »</w:t>
      </w:r>
      <w:r w:rsidR="0044187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287649">
        <w:rPr>
          <w:rFonts w:ascii="Times New Roman" w:hAnsi="Times New Roman" w:cs="Times New Roman"/>
          <w:bCs/>
          <w:i/>
          <w:iCs/>
          <w:sz w:val="23"/>
          <w:szCs w:val="23"/>
        </w:rPr>
        <w:t>et ceux</w:t>
      </w:r>
      <w:r w:rsidR="005643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des </w:t>
      </w:r>
      <w:r w:rsidR="0056439E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 produits énergétiques »</w:t>
      </w:r>
      <w:r w:rsidR="005643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ont </w:t>
      </w:r>
      <w:r w:rsidR="0044187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baissé </w:t>
      </w:r>
      <w:r w:rsidR="005643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respectivement </w:t>
      </w:r>
      <w:r w:rsidR="0044187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2876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4,5</w:t>
      </w:r>
      <w:r w:rsidR="0044187D" w:rsidRPr="007D037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5643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5643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0,4</w:t>
      </w:r>
      <w:r w:rsidR="0015093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851D08">
        <w:rPr>
          <w:rFonts w:ascii="Times New Roman" w:hAnsi="Times New Roman" w:cs="Times New Roman"/>
          <w:b/>
          <w:bCs/>
          <w:i/>
          <w:iCs/>
          <w:sz w:val="23"/>
          <w:szCs w:val="23"/>
        </w:rPr>
        <w:t> </w:t>
      </w:r>
      <w:r w:rsidR="00851D08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bookmarkStart w:id="0" w:name="_GoBack"/>
      <w:bookmarkEnd w:id="0"/>
      <w:r w:rsidR="007D037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:rsidR="00DC45BA" w:rsidRPr="004A7351" w:rsidRDefault="003671B8" w:rsidP="00DC45BA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glissement annuel, </w:t>
      </w:r>
      <w:r w:rsidR="009615E2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les prix des</w:t>
      </w:r>
      <w:r w:rsidR="006F2D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produits frais »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</w:t>
      </w:r>
      <w:r w:rsidR="0056439E">
        <w:rPr>
          <w:rFonts w:ascii="Times New Roman" w:hAnsi="Times New Roman" w:cs="Times New Roman"/>
          <w:bCs/>
          <w:i/>
          <w:iCs/>
          <w:sz w:val="23"/>
          <w:szCs w:val="23"/>
        </w:rPr>
        <w:t>cru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5643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5</w:t>
      </w:r>
      <w:r w:rsidR="004F127F" w:rsidRPr="004F127F">
        <w:rPr>
          <w:rFonts w:ascii="Times New Roman" w:hAnsi="Times New Roman" w:cs="Times New Roman"/>
          <w:b/>
          <w:bCs/>
          <w:i/>
          <w:iCs/>
          <w:sz w:val="23"/>
          <w:szCs w:val="23"/>
        </w:rPr>
        <w:t>,2%</w:t>
      </w:r>
      <w:r w:rsidR="0015093E" w:rsidRPr="0015093E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1509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tandis que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ceux des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produits énergétiques » </w:t>
      </w:r>
      <w:r w:rsidR="005B28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</w:t>
      </w:r>
      <w:r w:rsidR="004F127F">
        <w:rPr>
          <w:rFonts w:ascii="Times New Roman" w:hAnsi="Times New Roman" w:cs="Times New Roman"/>
          <w:bCs/>
          <w:i/>
          <w:iCs/>
          <w:sz w:val="23"/>
          <w:szCs w:val="23"/>
        </w:rPr>
        <w:t>diminué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5B28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5643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1,5</w:t>
      </w:r>
      <w:r w:rsidR="005B289E" w:rsidRPr="005B28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. 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Sur la base de l’origine des produits :</w:t>
      </w:r>
    </w:p>
    <w:p w:rsidR="003671B8" w:rsidRPr="00262D3A" w:rsidRDefault="003671B8" w:rsidP="003671B8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en variation mensuelle, les prix  des « produits importés »</w:t>
      </w:r>
      <w:r w:rsidR="00397433" w:rsidRP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E598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augmenté de </w:t>
      </w:r>
      <w:r w:rsidR="00CE598C" w:rsidRPr="00CE598C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0,1%</w:t>
      </w:r>
      <w:r w:rsidR="00E6656D">
        <w:rPr>
          <w:rFonts w:ascii="Times New Roman" w:hAnsi="Times New Roman" w:cs="Times New Roman"/>
          <w:bCs/>
          <w:i/>
          <w:iCs/>
          <w:sz w:val="23"/>
          <w:szCs w:val="23"/>
        </w:rPr>
        <w:t>, alors que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ceux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« produits locaux » </w:t>
      </w:r>
      <w:r w:rsidR="004742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diminué </w:t>
      </w:r>
      <w:r w:rsidR="00CE598C">
        <w:rPr>
          <w:rFonts w:ascii="Times New Roman" w:hAnsi="Times New Roman" w:cs="Times New Roman"/>
          <w:b/>
          <w:bCs/>
          <w:i/>
          <w:iCs/>
          <w:sz w:val="23"/>
          <w:szCs w:val="23"/>
        </w:rPr>
        <w:t>2,5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:rsidR="00EB3E47" w:rsidRDefault="003671B8" w:rsidP="00EB3E47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lastRenderedPageBreak/>
        <w:t xml:space="preserve">en glissement annuel, les prix des </w:t>
      </w:r>
      <w:r w:rsidR="00955E41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 produits importés »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ont baissé de </w:t>
      </w:r>
      <w:r w:rsidR="00CE598C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0,4</w:t>
      </w:r>
      <w:r w:rsidR="000A5B88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E6656D" w:rsidRPr="00E6656D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E6656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pendant que</w:t>
      </w:r>
      <w:r w:rsidR="000A5B8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ceux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des « produits locaux » ont </w:t>
      </w:r>
      <w:r w:rsidR="00CE598C">
        <w:rPr>
          <w:rFonts w:ascii="Times New Roman" w:hAnsi="Times New Roman" w:cs="Times New Roman"/>
          <w:bCs/>
          <w:i/>
          <w:iCs/>
          <w:sz w:val="23"/>
          <w:szCs w:val="23"/>
        </w:rPr>
        <w:t>cru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F15652" w:rsidRPr="00F1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2,2</w:t>
      </w:r>
      <w:r w:rsidR="00397433" w:rsidRPr="00F1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%.</w:t>
      </w:r>
    </w:p>
    <w:p w:rsidR="00EB3E47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3E2A8A">
        <w:rPr>
          <w:rFonts w:ascii="Times New Roman" w:hAnsi="Times New Roman" w:cs="Times New Roman"/>
          <w:b/>
          <w:color w:val="auto"/>
          <w:sz w:val="23"/>
          <w:szCs w:val="23"/>
        </w:rPr>
        <w:t>Inflation sous-jacente</w:t>
      </w:r>
    </w:p>
    <w:p w:rsidR="00EB3E47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702C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L’indice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sous-jacent est l’indice de l’évolution du niveau général des prix obtenu en dehors des phénomènes perturbateurs que sont les produits saisonniers et énergétiques : Indice hors énergie et produits frais. Cet indice </w:t>
      </w:r>
      <w:r w:rsidR="00CE598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s’établit à </w:t>
      </w:r>
      <w:r w:rsidR="00CE598C" w:rsidRPr="00BA01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105,7</w:t>
      </w:r>
      <w:r w:rsidR="00CE598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contre </w:t>
      </w:r>
      <w:r w:rsidR="00CE598C" w:rsidRPr="00BA01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106,8</w:t>
      </w:r>
      <w:r w:rsidR="00CE598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BA019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le mois précédent soit une baisse mensuelle de </w:t>
      </w:r>
      <w:r w:rsidR="00BA0195" w:rsidRPr="00BA01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1,0%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. En comparaison au même mois de l’année dernière, il a varié de </w:t>
      </w:r>
      <w:r w:rsidR="002E05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+0,2</w:t>
      </w:r>
      <w:r w:rsidRPr="00A702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440CD2">
        <w:rPr>
          <w:rFonts w:ascii="Times New Roman" w:hAnsi="Times New Roman" w:cs="Times New Roman"/>
          <w:bCs/>
          <w:i/>
          <w:iCs/>
          <w:sz w:val="23"/>
          <w:szCs w:val="23"/>
        </w:rPr>
        <w:t>contre</w:t>
      </w:r>
      <w:r w:rsidR="002E059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+1,2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% </w:t>
      </w:r>
      <w:r w:rsidRPr="00440CD2">
        <w:rPr>
          <w:rFonts w:ascii="Times New Roman" w:hAnsi="Times New Roman" w:cs="Times New Roman"/>
          <w:bCs/>
          <w:i/>
          <w:iCs/>
          <w:sz w:val="23"/>
          <w:szCs w:val="23"/>
        </w:rPr>
        <w:t>le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440CD2">
        <w:rPr>
          <w:rFonts w:ascii="Times New Roman" w:hAnsi="Times New Roman" w:cs="Times New Roman"/>
          <w:bCs/>
          <w:i/>
          <w:iCs/>
          <w:sz w:val="23"/>
          <w:szCs w:val="23"/>
        </w:rPr>
        <w:t>mois précédent.</w:t>
      </w:r>
    </w:p>
    <w:p w:rsidR="00EB3E47" w:rsidRPr="00EB3E47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En moyenne annuelle,</w:t>
      </w:r>
      <w:r w:rsidR="00E6656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l’indice sous-jacent a cru de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2E05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1,7</w:t>
      </w:r>
      <w:r w:rsidRPr="00440CD2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Pr="00262D3A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262D3A">
        <w:rPr>
          <w:rFonts w:ascii="Times New Roman" w:hAnsi="Times New Roman" w:cs="Times New Roman"/>
          <w:b/>
          <w:color w:val="auto"/>
          <w:sz w:val="23"/>
          <w:szCs w:val="23"/>
        </w:rPr>
        <w:t>Taux d’inflation suivant le critère de convergence dans l’espace UEMOA</w:t>
      </w:r>
      <w:r w:rsidRPr="00262D3A">
        <w:rPr>
          <w:rStyle w:val="Appelnotedebasdep"/>
          <w:rFonts w:ascii="Times New Roman" w:hAnsi="Times New Roman" w:cs="Times New Roman"/>
          <w:b/>
          <w:color w:val="auto"/>
          <w:sz w:val="23"/>
          <w:szCs w:val="23"/>
        </w:rPr>
        <w:footnoteReference w:id="1"/>
      </w:r>
    </w:p>
    <w:p w:rsidR="00E731F6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Le taux d’inflation au niveau nat</w:t>
      </w:r>
      <w:r w:rsidR="00C048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ional au titre du mois </w:t>
      </w:r>
      <w:r w:rsidR="002E059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d’août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2021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suivant la définition adoptée dans l’espace UEMOA, est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ressorti </w:t>
      </w:r>
      <w:proofErr w:type="gramStart"/>
      <w:r>
        <w:rPr>
          <w:rFonts w:ascii="Times New Roman" w:hAnsi="Times New Roman" w:cs="Times New Roman"/>
          <w:bCs/>
          <w:i/>
          <w:iCs/>
          <w:sz w:val="23"/>
          <w:szCs w:val="23"/>
        </w:rPr>
        <w:t>à</w:t>
      </w:r>
      <w:proofErr w:type="gramEnd"/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2E05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+1,7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467D5A" w:rsidRPr="00467D5A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soit une </w:t>
      </w:r>
      <w:r w:rsidR="00F81B37"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2E0595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0,3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point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par rapport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au 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>mois précédent.</w:t>
      </w:r>
    </w:p>
    <w:p w:rsidR="003671B8" w:rsidRPr="00ED1B69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1: Indice Harmonisé des Prix à l</w:t>
      </w:r>
      <w:r w:rsidR="006972F4" w:rsidRPr="00ED1B69">
        <w:rPr>
          <w:rFonts w:ascii="Times New Roman" w:hAnsi="Times New Roman"/>
          <w:b/>
          <w:color w:val="auto"/>
          <w:sz w:val="23"/>
          <w:szCs w:val="23"/>
        </w:rPr>
        <w:t xml:space="preserve">a </w:t>
      </w:r>
      <w:r w:rsidR="00F247ED">
        <w:rPr>
          <w:rFonts w:ascii="Times New Roman" w:hAnsi="Times New Roman"/>
          <w:b/>
          <w:color w:val="auto"/>
          <w:sz w:val="23"/>
          <w:szCs w:val="23"/>
        </w:rPr>
        <w:t>Consommation du mois d’août</w:t>
      </w:r>
      <w:r w:rsidR="0030459A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102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590"/>
        <w:gridCol w:w="585"/>
        <w:gridCol w:w="586"/>
        <w:gridCol w:w="560"/>
        <w:gridCol w:w="556"/>
        <w:gridCol w:w="557"/>
        <w:gridCol w:w="585"/>
        <w:gridCol w:w="637"/>
        <w:gridCol w:w="584"/>
        <w:gridCol w:w="606"/>
        <w:gridCol w:w="585"/>
      </w:tblGrid>
      <w:tr w:rsidR="005D508A" w:rsidRPr="005D508A" w:rsidTr="00EC5D3D">
        <w:trPr>
          <w:trHeight w:val="345"/>
        </w:trPr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5D508A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EC5D3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</w:t>
            </w:r>
            <w:r w:rsid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="005D508A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EC5D3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</w:t>
            </w:r>
            <w:r w:rsidR="0065292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.-21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EC5D3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</w:t>
            </w:r>
            <w:r w:rsidR="0065292B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.-21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EC5D3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juin</w:t>
            </w:r>
            <w:r w:rsidR="0065292B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.-21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65292B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</w:t>
            </w:r>
            <w:r w:rsidR="00EC5D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uil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EC5D3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</w:t>
            </w:r>
            <w:r w:rsidR="00D256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="005D508A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EC5D3D" w:rsidRPr="005D508A" w:rsidTr="00EC5D3D">
        <w:trPr>
          <w:trHeight w:val="438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-1,8%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-4,3%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5,9%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-5,4%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EC5D3D" w:rsidRPr="005D508A" w:rsidTr="00EC5D3D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</w:tr>
      <w:tr w:rsidR="00EC5D3D" w:rsidRPr="005D508A" w:rsidTr="00EC5D3D">
        <w:trPr>
          <w:trHeight w:val="279"/>
        </w:trPr>
        <w:tc>
          <w:tcPr>
            <w:tcW w:w="38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5D508A" w:rsidRDefault="00EC5D3D" w:rsidP="00EC5D3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C5D3D" w:rsidRPr="005D508A" w:rsidRDefault="00EC5D3D" w:rsidP="00EC5D3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5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 w:themeFill="accent3" w:themeFillTint="33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EC5D3D" w:rsidRPr="00EC5D3D" w:rsidRDefault="00EC5D3D" w:rsidP="00EC5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5D3D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</w:tr>
    </w:tbl>
    <w:p w:rsidR="003671B8" w:rsidRPr="0042781F" w:rsidRDefault="00EC5D3D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EC5D3D">
        <w:rPr>
          <w:rFonts w:ascii="Times New Roman" w:hAnsi="Times New Roman"/>
          <w:b w:val="0"/>
          <w:color w:val="auto"/>
          <w:sz w:val="16"/>
          <w:szCs w:val="16"/>
        </w:rPr>
        <w:t xml:space="preserve"> </w:t>
      </w:r>
      <w:r w:rsidR="003671B8"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="003671B8"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/>
          <w:b w:val="0"/>
          <w:bCs w:val="0"/>
          <w:color w:val="auto"/>
          <w:sz w:val="16"/>
          <w:szCs w:val="16"/>
        </w:rPr>
        <w:t>INStaD</w:t>
      </w:r>
      <w:proofErr w:type="spellEnd"/>
      <w:r w:rsidR="00617B75">
        <w:rPr>
          <w:rFonts w:ascii="Times New Roman" w:hAnsi="Times New Roman"/>
          <w:b w:val="0"/>
          <w:bCs w:val="0"/>
          <w:color w:val="auto"/>
          <w:sz w:val="16"/>
          <w:szCs w:val="16"/>
        </w:rPr>
        <w:t>/DSS</w:t>
      </w:r>
      <w:r w:rsidR="00016DCE">
        <w:rPr>
          <w:rFonts w:ascii="Times New Roman" w:hAnsi="Times New Roman"/>
          <w:b w:val="0"/>
          <w:bCs w:val="0"/>
          <w:color w:val="auto"/>
          <w:sz w:val="16"/>
          <w:szCs w:val="16"/>
        </w:rPr>
        <w:t xml:space="preserve">, </w:t>
      </w:r>
      <w:r w:rsidR="00F247ED">
        <w:rPr>
          <w:rFonts w:ascii="Times New Roman" w:hAnsi="Times New Roman"/>
          <w:b w:val="0"/>
          <w:bCs w:val="0"/>
          <w:color w:val="auto"/>
          <w:sz w:val="16"/>
          <w:szCs w:val="16"/>
        </w:rPr>
        <w:t>août</w:t>
      </w:r>
      <w:r w:rsidR="00016DCE">
        <w:rPr>
          <w:rFonts w:ascii="Times New Roman" w:hAnsi="Times New Roman"/>
          <w:b w:val="0"/>
          <w:bCs w:val="0"/>
          <w:color w:val="auto"/>
          <w:sz w:val="16"/>
          <w:szCs w:val="16"/>
        </w:rPr>
        <w:t xml:space="preserve"> 2021</w:t>
      </w:r>
    </w:p>
    <w:p w:rsidR="00D3649F" w:rsidRPr="00D3649F" w:rsidRDefault="003671B8" w:rsidP="00D3649F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:rsidR="003671B8" w:rsidRPr="0042781F" w:rsidRDefault="003671B8" w:rsidP="003671B8">
      <w:pPr>
        <w:pStyle w:val="Titre5"/>
        <w:spacing w:before="120"/>
        <w:rPr>
          <w:b/>
          <w:color w:val="auto"/>
          <w:sz w:val="23"/>
          <w:szCs w:val="23"/>
        </w:rPr>
      </w:pPr>
      <w:r w:rsidRPr="0042781F">
        <w:rPr>
          <w:rFonts w:ascii="Times New Roman" w:hAnsi="Times New Roman"/>
          <w:b/>
          <w:color w:val="auto"/>
          <w:sz w:val="23"/>
          <w:szCs w:val="23"/>
        </w:rPr>
        <w:t>Tableau 2: Evolution du taux d’inflation</w:t>
      </w:r>
    </w:p>
    <w:tbl>
      <w:tblPr>
        <w:tblW w:w="9975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694"/>
        <w:gridCol w:w="699"/>
        <w:gridCol w:w="636"/>
        <w:gridCol w:w="613"/>
        <w:gridCol w:w="652"/>
        <w:gridCol w:w="694"/>
        <w:gridCol w:w="587"/>
        <w:gridCol w:w="697"/>
        <w:gridCol w:w="649"/>
        <w:gridCol w:w="722"/>
        <w:gridCol w:w="686"/>
        <w:gridCol w:w="629"/>
        <w:gridCol w:w="749"/>
      </w:tblGrid>
      <w:tr w:rsidR="00EC5D3D" w:rsidRPr="0042781F" w:rsidTr="00EC5D3D">
        <w:trPr>
          <w:trHeight w:val="120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C5D3D" w:rsidRPr="0042781F" w:rsidRDefault="00EC5D3D" w:rsidP="003671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694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oût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699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636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3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nov.20</w:t>
            </w:r>
          </w:p>
        </w:tc>
        <w:tc>
          <w:tcPr>
            <w:tcW w:w="652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déc.-20</w:t>
            </w:r>
          </w:p>
        </w:tc>
        <w:tc>
          <w:tcPr>
            <w:tcW w:w="694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janv.-21</w:t>
            </w:r>
          </w:p>
        </w:tc>
        <w:tc>
          <w:tcPr>
            <w:tcW w:w="587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fév.21</w:t>
            </w:r>
          </w:p>
        </w:tc>
        <w:tc>
          <w:tcPr>
            <w:tcW w:w="697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mar.-21</w:t>
            </w:r>
          </w:p>
        </w:tc>
        <w:tc>
          <w:tcPr>
            <w:tcW w:w="649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avr.-20</w:t>
            </w:r>
          </w:p>
        </w:tc>
        <w:tc>
          <w:tcPr>
            <w:tcW w:w="722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mai.-21</w:t>
            </w:r>
          </w:p>
        </w:tc>
        <w:tc>
          <w:tcPr>
            <w:tcW w:w="686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juin.-21</w:t>
            </w:r>
          </w:p>
        </w:tc>
        <w:tc>
          <w:tcPr>
            <w:tcW w:w="629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juil.-21</w:t>
            </w:r>
          </w:p>
        </w:tc>
        <w:tc>
          <w:tcPr>
            <w:tcW w:w="749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août.-21</w:t>
            </w:r>
          </w:p>
        </w:tc>
      </w:tr>
      <w:tr w:rsidR="00EC5D3D" w:rsidRPr="0042781F" w:rsidTr="00EC5D3D">
        <w:trPr>
          <w:trHeight w:val="413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C5D3D" w:rsidRPr="0042781F" w:rsidRDefault="00EC5D3D" w:rsidP="003671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94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99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+2,5%</w:t>
            </w:r>
          </w:p>
        </w:tc>
        <w:tc>
          <w:tcPr>
            <w:tcW w:w="636" w:type="dxa"/>
          </w:tcPr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613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Pr="0042781F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52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94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87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+2,5%</w:t>
            </w:r>
          </w:p>
        </w:tc>
        <w:tc>
          <w:tcPr>
            <w:tcW w:w="697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49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22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86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+2,1%</w:t>
            </w:r>
          </w:p>
        </w:tc>
        <w:tc>
          <w:tcPr>
            <w:tcW w:w="629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49" w:type="dxa"/>
          </w:tcPr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5D3D" w:rsidRDefault="00EC5D3D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</w:tr>
    </w:tbl>
    <w:p w:rsidR="00FC5523" w:rsidRPr="002370EA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proofErr w:type="spellStart"/>
      <w:r w:rsidR="00617B7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</w:t>
      </w:r>
      <w:proofErr w:type="spellEnd"/>
      <w:r w:rsidR="00617B7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/DSS</w:t>
      </w:r>
      <w:r w:rsidR="006972F4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, </w:t>
      </w:r>
      <w:r w:rsidR="00F247ED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août</w:t>
      </w: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  202</w:t>
      </w:r>
      <w:r w:rsidR="003C343B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1</w:t>
      </w:r>
    </w:p>
    <w:p w:rsidR="00836A66" w:rsidRDefault="00836A66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F76" w:rsidRPr="00ED1B69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</w:t>
      </w:r>
      <w:r w:rsidR="00C26A1D" w:rsidRPr="00ED1B69">
        <w:rPr>
          <w:rFonts w:ascii="Times New Roman" w:hAnsi="Times New Roman"/>
          <w:b/>
          <w:color w:val="auto"/>
          <w:sz w:val="23"/>
          <w:szCs w:val="23"/>
        </w:rPr>
        <w:t xml:space="preserve"> 1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> : Evolution du taux d’inflation en critère de convergence UEMOA</w:t>
      </w:r>
    </w:p>
    <w:p w:rsidR="005810A3" w:rsidRDefault="00D41C5D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77659253" wp14:editId="41BE19DD">
            <wp:extent cx="5810250" cy="175260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5B7" w:rsidRDefault="005810A3" w:rsidP="003671B8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3671B8" w:rsidRPr="00ED1B69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Graphique 2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de l'indice global et de l'indice hors produits frais et énergétiques</w:t>
      </w:r>
    </w:p>
    <w:p w:rsidR="003671B8" w:rsidRDefault="00D41C5D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5DF3B2A5" wp14:editId="2CD3AFF0">
            <wp:extent cx="5886450" cy="1962150"/>
            <wp:effectExtent l="0" t="0" r="0" b="0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43F9" w:rsidRPr="003E5DB0" w:rsidRDefault="003671B8" w:rsidP="003E5DB0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3671B8" w:rsidRPr="00D41C5D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 3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 l'indice global et de l'indice des produits alimentaires</w:t>
      </w:r>
    </w:p>
    <w:p w:rsidR="00B16003" w:rsidRDefault="00D41C5D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3EE63EE1" wp14:editId="0490A0E8">
            <wp:extent cx="6086475" cy="1838325"/>
            <wp:effectExtent l="0" t="0" r="9525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7351" w:rsidRPr="00EF468E" w:rsidRDefault="003671B8" w:rsidP="00EF468E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Graphique 4 : Evolution mensuelle des indices du transport et logement, eau, gaz, électricité et autres combustibles </w:t>
      </w:r>
    </w:p>
    <w:p w:rsidR="00EF468E" w:rsidRPr="007A3FB9" w:rsidRDefault="007944D0" w:rsidP="007A3FB9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96995E1" wp14:editId="41E799BA">
            <wp:extent cx="6076950" cy="1752600"/>
            <wp:effectExtent l="0" t="0" r="0" b="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4B072F" w:rsidRDefault="004B072F" w:rsidP="004A7351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7351" w:rsidRPr="00ED1B69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Graphique</w:t>
      </w:r>
      <w:r w:rsidR="00C26A1D" w:rsidRPr="00ED1B69">
        <w:rPr>
          <w:rFonts w:ascii="Times New Roman" w:hAnsi="Times New Roman"/>
          <w:b/>
          <w:color w:val="auto"/>
          <w:sz w:val="23"/>
          <w:szCs w:val="23"/>
        </w:rPr>
        <w:t xml:space="preserve"> 5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des indices des produits importés et locaux</w:t>
      </w:r>
    </w:p>
    <w:p w:rsidR="00FC5523" w:rsidRPr="00E72A3E" w:rsidRDefault="007944D0" w:rsidP="00E72A3E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95603E0" wp14:editId="7C4EFACB">
            <wp:extent cx="5848350" cy="2466975"/>
            <wp:effectExtent l="0" t="0" r="0" b="9525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proofErr w:type="spellStart"/>
      <w:r w:rsidR="00617B75">
        <w:rPr>
          <w:rFonts w:ascii="Times New Roman" w:hAnsi="Times New Roman" w:cs="Times New Roman"/>
          <w:bCs/>
          <w:i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i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i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i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iCs/>
          <w:sz w:val="16"/>
          <w:szCs w:val="16"/>
        </w:rPr>
        <w:t xml:space="preserve"> 2021</w:t>
      </w:r>
    </w:p>
    <w:p w:rsidR="009A1366" w:rsidRPr="00ED1B69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Tableau </w:t>
      </w:r>
      <w:r w:rsidR="009A1366" w:rsidRPr="00ED1B69">
        <w:rPr>
          <w:rFonts w:ascii="Times New Roman" w:hAnsi="Times New Roman"/>
          <w:b/>
          <w:color w:val="auto"/>
          <w:sz w:val="23"/>
          <w:szCs w:val="23"/>
        </w:rPr>
        <w:t>2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> : IHPC suivant les nomen</w:t>
      </w:r>
      <w:r w:rsidR="007A3FB9">
        <w:rPr>
          <w:rFonts w:ascii="Times New Roman" w:hAnsi="Times New Roman"/>
          <w:b/>
          <w:color w:val="auto"/>
          <w:sz w:val="23"/>
          <w:szCs w:val="23"/>
        </w:rPr>
        <w:t xml:space="preserve">clatures secondaires en </w:t>
      </w:r>
      <w:r w:rsidR="00F247ED">
        <w:rPr>
          <w:rFonts w:ascii="Times New Roman" w:hAnsi="Times New Roman"/>
          <w:b/>
          <w:color w:val="auto"/>
          <w:sz w:val="23"/>
          <w:szCs w:val="23"/>
        </w:rPr>
        <w:t>août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9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810"/>
        <w:gridCol w:w="816"/>
        <w:gridCol w:w="860"/>
        <w:gridCol w:w="810"/>
        <w:gridCol w:w="810"/>
        <w:gridCol w:w="675"/>
        <w:gridCol w:w="675"/>
        <w:gridCol w:w="815"/>
      </w:tblGrid>
      <w:tr w:rsidR="007944D0" w:rsidRPr="004577D5" w:rsidTr="003671B8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août.-20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mai.-21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juin.-21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juil.-21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août.-21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7944D0" w:rsidRPr="004577D5" w:rsidRDefault="007944D0" w:rsidP="007944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-4,5%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5,2%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-6,3%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-2,4%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A3FB9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7A3FB9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-1,4%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-2,5%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7944D0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103,907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-3,5%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</w:tr>
      <w:tr w:rsidR="007944D0" w:rsidRPr="004577D5" w:rsidTr="003671B8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4D0" w:rsidRPr="004577D5" w:rsidRDefault="007944D0" w:rsidP="007944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44D0" w:rsidRPr="007944D0" w:rsidRDefault="007944D0" w:rsidP="007944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4D0">
              <w:rPr>
                <w:rFonts w:ascii="Times New Roman" w:hAnsi="Times New Roman" w:cs="Times New Roman"/>
                <w:sz w:val="18"/>
                <w:szCs w:val="18"/>
              </w:rPr>
              <w:t>-1,4%</w:t>
            </w:r>
          </w:p>
        </w:tc>
      </w:tr>
    </w:tbl>
    <w:p w:rsidR="003671B8" w:rsidRPr="00956DBD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9A1366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3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IHP</w:t>
      </w:r>
      <w:r w:rsidR="00EA37C7" w:rsidRPr="00ED1B69">
        <w:rPr>
          <w:rFonts w:ascii="Times New Roman" w:hAnsi="Times New Roman"/>
          <w:b/>
          <w:color w:val="auto"/>
          <w:sz w:val="23"/>
          <w:szCs w:val="23"/>
        </w:rPr>
        <w:t xml:space="preserve">C suivant les régions en </w:t>
      </w:r>
      <w:r w:rsidR="00F247ED">
        <w:rPr>
          <w:rFonts w:ascii="Times New Roman" w:hAnsi="Times New Roman"/>
          <w:b/>
          <w:color w:val="auto"/>
          <w:sz w:val="23"/>
          <w:szCs w:val="23"/>
        </w:rPr>
        <w:t>août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87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855"/>
        <w:gridCol w:w="860"/>
        <w:gridCol w:w="860"/>
        <w:gridCol w:w="763"/>
        <w:gridCol w:w="855"/>
        <w:gridCol w:w="766"/>
        <w:gridCol w:w="765"/>
        <w:gridCol w:w="765"/>
      </w:tblGrid>
      <w:tr w:rsidR="003671B8" w:rsidRPr="0080208F" w:rsidTr="008D181B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193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:rsidTr="008D181B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8D181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</w:t>
            </w:r>
            <w:r w:rsidR="00336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4577D5" w:rsidRDefault="008D181B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juil.-21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4577D5" w:rsidRDefault="008D181B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</w:t>
            </w:r>
            <w:r w:rsidR="00C41D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:rsidTr="008D181B">
        <w:trPr>
          <w:trHeight w:val="300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3692A" w:rsidRPr="0080208F" w:rsidRDefault="008D181B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3692A" w:rsidRPr="0080208F" w:rsidRDefault="008D181B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juin.-21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181B" w:rsidRPr="0080208F" w:rsidTr="008D181B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81B" w:rsidRPr="0080208F" w:rsidRDefault="008D181B" w:rsidP="008D18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81B" w:rsidRPr="0080208F" w:rsidRDefault="008D181B" w:rsidP="008D18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-1,8%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8D181B" w:rsidRPr="0080208F" w:rsidTr="008D181B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0208F" w:rsidRDefault="008D181B" w:rsidP="008D1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81B" w:rsidRPr="0080208F" w:rsidRDefault="008D181B" w:rsidP="008D18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-2,4%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</w:tr>
      <w:tr w:rsidR="008D181B" w:rsidRPr="0080208F" w:rsidTr="008D181B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0208F" w:rsidRDefault="008D181B" w:rsidP="008D1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81B" w:rsidRPr="0080208F" w:rsidRDefault="008D181B" w:rsidP="008D18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8D181B" w:rsidRPr="0080208F" w:rsidTr="008D181B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0208F" w:rsidRDefault="008D181B" w:rsidP="008D1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81B" w:rsidRPr="0080208F" w:rsidRDefault="008D181B" w:rsidP="008D18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</w:tr>
      <w:tr w:rsidR="008D181B" w:rsidRPr="0080208F" w:rsidTr="008D181B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0208F" w:rsidRDefault="008D181B" w:rsidP="008D1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81B" w:rsidRPr="0080208F" w:rsidRDefault="008D181B" w:rsidP="008D18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</w:tr>
      <w:tr w:rsidR="008D181B" w:rsidRPr="0080208F" w:rsidTr="008D181B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0208F" w:rsidRDefault="008D181B" w:rsidP="008D1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0208F" w:rsidRDefault="008D181B" w:rsidP="008D181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-1,2%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8D181B" w:rsidRPr="008D181B" w:rsidRDefault="008D181B" w:rsidP="008D1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81B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</w:tr>
    </w:tbl>
    <w:p w:rsidR="003671B8" w:rsidRDefault="00956DBD" w:rsidP="003671B8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255646" w:rsidRDefault="00255646" w:rsidP="003671B8">
      <w:pPr>
        <w:rPr>
          <w:rFonts w:ascii="Times New Roman" w:hAnsi="Times New Roman" w:cs="Times New Roman"/>
          <w:bCs/>
          <w:sz w:val="16"/>
          <w:szCs w:val="16"/>
        </w:rPr>
      </w:pPr>
    </w:p>
    <w:p w:rsidR="00C41D2B" w:rsidRDefault="00C41D2B" w:rsidP="003671B8">
      <w:pPr>
        <w:jc w:val="both"/>
        <w:rPr>
          <w:b/>
          <w:bCs/>
          <w:i/>
          <w:iCs/>
        </w:rPr>
      </w:pPr>
    </w:p>
    <w:p w:rsidR="00AC575B" w:rsidRDefault="00AC575B" w:rsidP="003671B8">
      <w:pPr>
        <w:jc w:val="both"/>
        <w:rPr>
          <w:b/>
          <w:bCs/>
          <w:i/>
          <w:iCs/>
        </w:rPr>
      </w:pPr>
    </w:p>
    <w:p w:rsidR="003671B8" w:rsidRPr="00ED1B69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 xml:space="preserve">Tableau </w:t>
      </w:r>
      <w:r w:rsidR="009A1366" w:rsidRPr="00ED1B69">
        <w:rPr>
          <w:rFonts w:ascii="Times New Roman" w:hAnsi="Times New Roman"/>
          <w:b/>
          <w:color w:val="auto"/>
          <w:sz w:val="23"/>
          <w:szCs w:val="23"/>
        </w:rPr>
        <w:t>4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 : Prix moyens (en F.CFA) de certains produits de première nécessité dans </w:t>
      </w:r>
      <w:r w:rsidR="00EA37C7" w:rsidRPr="00ED1B69">
        <w:rPr>
          <w:rFonts w:ascii="Times New Roman" w:hAnsi="Times New Roman"/>
          <w:b/>
          <w:color w:val="auto"/>
          <w:sz w:val="23"/>
          <w:szCs w:val="23"/>
        </w:rPr>
        <w:t xml:space="preserve">les grandes villes en </w:t>
      </w:r>
      <w:r w:rsidR="00F247ED">
        <w:rPr>
          <w:rFonts w:ascii="Times New Roman" w:hAnsi="Times New Roman"/>
          <w:b/>
          <w:color w:val="auto"/>
          <w:sz w:val="23"/>
          <w:szCs w:val="23"/>
        </w:rPr>
        <w:t>août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202</w:t>
      </w:r>
      <w:r w:rsidR="00CB0B44" w:rsidRPr="00ED1B69">
        <w:rPr>
          <w:rFonts w:ascii="Times New Roman" w:hAnsi="Times New Roman"/>
          <w:b/>
          <w:color w:val="auto"/>
          <w:sz w:val="23"/>
          <w:szCs w:val="23"/>
        </w:rPr>
        <w:t>1</w:t>
      </w:r>
    </w:p>
    <w:tbl>
      <w:tblPr>
        <w:tblW w:w="10393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:rsidTr="003671B8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:rsidTr="003671B8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2FB" w:rsidRPr="0058147B" w:rsidTr="003671B8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</w:tr>
      <w:tr w:rsidR="00A112FB" w:rsidRPr="0058147B" w:rsidTr="003671B8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</w:tr>
      <w:tr w:rsidR="00A112FB" w:rsidRPr="0058147B" w:rsidTr="003671B8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</w:tr>
      <w:tr w:rsidR="00A112FB" w:rsidRPr="0058147B" w:rsidTr="003671B8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</w:tr>
      <w:tr w:rsidR="00A112FB" w:rsidRPr="0058147B" w:rsidTr="003671B8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</w:tr>
      <w:tr w:rsidR="00A112FB" w:rsidRPr="0058147B" w:rsidTr="003671B8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</w:tr>
      <w:tr w:rsidR="00A112FB" w:rsidRPr="0058147B" w:rsidTr="003671B8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</w:t>
            </w:r>
          </w:p>
        </w:tc>
      </w:tr>
      <w:tr w:rsidR="00A112FB" w:rsidRPr="0058147B" w:rsidTr="003671B8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</w:tr>
      <w:tr w:rsidR="00A112FB" w:rsidRPr="0058147B" w:rsidTr="003671B8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</w:tr>
      <w:tr w:rsidR="00A112FB" w:rsidRPr="0058147B" w:rsidTr="003671B8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</w:tr>
      <w:tr w:rsidR="00A112FB" w:rsidRPr="0058147B" w:rsidTr="003671B8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</w:tr>
      <w:tr w:rsidR="00A112FB" w:rsidRPr="0058147B" w:rsidTr="003671B8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1 181</w:t>
            </w:r>
          </w:p>
        </w:tc>
      </w:tr>
      <w:tr w:rsidR="00A112FB" w:rsidRPr="0058147B" w:rsidTr="003671B8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</w:tr>
      <w:tr w:rsidR="00A112FB" w:rsidRPr="0058147B" w:rsidTr="003671B8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</w:t>
            </w:r>
          </w:p>
        </w:tc>
      </w:tr>
      <w:tr w:rsidR="00A112FB" w:rsidRPr="0058147B" w:rsidTr="003671B8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</w:tr>
      <w:tr w:rsidR="00A112FB" w:rsidRPr="0058147B" w:rsidTr="003671B8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3 418</w:t>
            </w:r>
          </w:p>
        </w:tc>
      </w:tr>
      <w:tr w:rsidR="00A112FB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7 039</w:t>
            </w:r>
          </w:p>
        </w:tc>
      </w:tr>
      <w:tr w:rsidR="00A112FB" w:rsidRPr="0058147B" w:rsidTr="003671B8">
        <w:trPr>
          <w:trHeight w:val="28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1 342</w:t>
            </w:r>
          </w:p>
        </w:tc>
      </w:tr>
      <w:tr w:rsidR="00A112FB" w:rsidRPr="0058147B" w:rsidTr="003671B8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2 417</w:t>
            </w:r>
          </w:p>
        </w:tc>
      </w:tr>
      <w:tr w:rsidR="00A112FB" w:rsidRPr="0058147B" w:rsidTr="003671B8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</w:t>
            </w:r>
          </w:p>
        </w:tc>
      </w:tr>
      <w:tr w:rsidR="00A112FB" w:rsidRPr="0058147B" w:rsidTr="003671B8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5 547</w:t>
            </w:r>
          </w:p>
        </w:tc>
      </w:tr>
      <w:tr w:rsidR="00A112FB" w:rsidRPr="0058147B" w:rsidTr="003671B8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1 073</w:t>
            </w:r>
          </w:p>
        </w:tc>
      </w:tr>
      <w:tr w:rsidR="00A112FB" w:rsidRPr="0058147B" w:rsidTr="003671B8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1 007</w:t>
            </w:r>
          </w:p>
        </w:tc>
      </w:tr>
      <w:tr w:rsidR="00A112FB" w:rsidRPr="0058147B" w:rsidTr="003671B8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</w:tr>
      <w:tr w:rsidR="00A112FB" w:rsidRPr="0058147B" w:rsidTr="003671B8">
        <w:trPr>
          <w:trHeight w:val="28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</w:tr>
      <w:tr w:rsidR="00A112FB" w:rsidRPr="0058147B" w:rsidTr="003671B8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72 236</w:t>
            </w:r>
          </w:p>
        </w:tc>
      </w:tr>
      <w:tr w:rsidR="00A112FB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72 403</w:t>
            </w:r>
          </w:p>
        </w:tc>
      </w:tr>
      <w:tr w:rsidR="00A112FB" w:rsidRPr="0058147B" w:rsidTr="003671B8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619 722</w:t>
            </w:r>
          </w:p>
        </w:tc>
      </w:tr>
      <w:tr w:rsidR="00A112FB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2FB" w:rsidRPr="0058147B" w:rsidRDefault="00A112FB" w:rsidP="00A11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2FB" w:rsidRPr="00A112FB" w:rsidRDefault="00A112FB" w:rsidP="00A11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627 917</w:t>
            </w:r>
          </w:p>
        </w:tc>
      </w:tr>
    </w:tbl>
    <w:p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>-DD</w:t>
      </w:r>
      <w:r w:rsidR="003671B8" w:rsidRPr="00640502">
        <w:rPr>
          <w:rFonts w:ascii="Times New Roman" w:hAnsi="Times New Roman" w:cs="Times New Roman"/>
          <w:bCs/>
          <w:sz w:val="16"/>
          <w:szCs w:val="16"/>
        </w:rPr>
        <w:t>D,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F22D57" w:rsidRPr="00640502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D670C6" w:rsidRDefault="00D670C6" w:rsidP="003671B8">
      <w:pPr>
        <w:ind w:left="-851"/>
        <w:rPr>
          <w:bCs/>
          <w:sz w:val="16"/>
          <w:szCs w:val="16"/>
        </w:rPr>
      </w:pPr>
    </w:p>
    <w:p w:rsidR="003671B8" w:rsidRDefault="003671B8" w:rsidP="003671B8">
      <w:pPr>
        <w:rPr>
          <w:bCs/>
          <w:sz w:val="16"/>
          <w:szCs w:val="16"/>
        </w:rPr>
      </w:pPr>
    </w:p>
    <w:p w:rsidR="00E72A3E" w:rsidRDefault="00E72A3E" w:rsidP="003671B8">
      <w:pPr>
        <w:rPr>
          <w:bCs/>
          <w:sz w:val="16"/>
          <w:szCs w:val="16"/>
        </w:rPr>
      </w:pPr>
    </w:p>
    <w:p w:rsidR="003E5DB0" w:rsidRDefault="003E5DB0" w:rsidP="003671B8">
      <w:pPr>
        <w:rPr>
          <w:bCs/>
          <w:sz w:val="16"/>
          <w:szCs w:val="16"/>
        </w:rPr>
      </w:pPr>
    </w:p>
    <w:p w:rsidR="003671B8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5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du taux d’inflation dans les pays de l’UEMOA</w:t>
      </w:r>
    </w:p>
    <w:tbl>
      <w:tblPr>
        <w:tblW w:w="10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976"/>
        <w:gridCol w:w="761"/>
        <w:gridCol w:w="730"/>
        <w:gridCol w:w="648"/>
        <w:gridCol w:w="670"/>
        <w:gridCol w:w="649"/>
        <w:gridCol w:w="779"/>
        <w:gridCol w:w="626"/>
        <w:gridCol w:w="706"/>
        <w:gridCol w:w="684"/>
        <w:gridCol w:w="835"/>
        <w:gridCol w:w="716"/>
        <w:gridCol w:w="705"/>
      </w:tblGrid>
      <w:tr w:rsidR="00A112FB" w:rsidRPr="00EF0798" w:rsidTr="00A112FB">
        <w:trPr>
          <w:trHeight w:val="302"/>
        </w:trPr>
        <w:tc>
          <w:tcPr>
            <w:tcW w:w="114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A112FB" w:rsidRPr="00EF0798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A112FB" w:rsidRPr="00EF0798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août.-20</w:t>
            </w:r>
          </w:p>
        </w:tc>
        <w:tc>
          <w:tcPr>
            <w:tcW w:w="7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sept.-20</w:t>
            </w:r>
          </w:p>
        </w:tc>
        <w:tc>
          <w:tcPr>
            <w:tcW w:w="64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oct.20</w:t>
            </w:r>
          </w:p>
        </w:tc>
        <w:tc>
          <w:tcPr>
            <w:tcW w:w="6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nov.-20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Pr="00FE17DC" w:rsidRDefault="00A112F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A00B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déc.-20</w:t>
            </w:r>
          </w:p>
        </w:tc>
        <w:tc>
          <w:tcPr>
            <w:tcW w:w="7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</w:tcPr>
          <w:p w:rsidR="00A112FB" w:rsidRPr="00FE17DC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janv.-21</w:t>
            </w:r>
          </w:p>
        </w:tc>
        <w:tc>
          <w:tcPr>
            <w:tcW w:w="62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Pr="00FE17DC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fév.-21</w:t>
            </w: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Pr="00FE17DC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mar.-21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Default="00A112FB" w:rsidP="00D33C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mai.-21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juin.-21</w:t>
            </w:r>
          </w:p>
        </w:tc>
        <w:tc>
          <w:tcPr>
            <w:tcW w:w="70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12FB" w:rsidRDefault="00A112FB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juil.-21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BURKINA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-0,7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CB7077" w:rsidRDefault="00A112FB" w:rsidP="00A112F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077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COTE D'IVOIRE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GUINNEE-BISSAU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112FB" w:rsidRPr="00EF0798" w:rsidTr="00A112FB">
        <w:trPr>
          <w:trHeight w:val="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EF0798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C3DC3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0730D0" w:rsidRDefault="00A112FB" w:rsidP="00A112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A112FB" w:rsidRPr="005E3A2C" w:rsidTr="00A112FB">
        <w:trPr>
          <w:trHeight w:val="289"/>
        </w:trPr>
        <w:tc>
          <w:tcPr>
            <w:tcW w:w="11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UEMOA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EF0798" w:rsidRDefault="00A112FB" w:rsidP="00A11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64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5E3A2C" w:rsidRDefault="00A112FB" w:rsidP="00A112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7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5E3A2C" w:rsidRDefault="00A112FB" w:rsidP="00A112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5E3A2C" w:rsidRDefault="00A112FB" w:rsidP="00A112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5E3A2C" w:rsidRDefault="00A112FB" w:rsidP="00A112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FE17DC" w:rsidRDefault="00A112FB" w:rsidP="00A112F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844BD0" w:rsidRDefault="00A112FB" w:rsidP="00A112F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4059DF" w:rsidRDefault="00A112FB" w:rsidP="00A112F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F44DAD" w:rsidRDefault="00A112FB" w:rsidP="00A112F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8E1210" w:rsidRDefault="00A112FB" w:rsidP="00A112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112FB" w:rsidRPr="00A112FB" w:rsidRDefault="00A112FB" w:rsidP="00A112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</w:tbl>
    <w:p w:rsidR="00FE0938" w:rsidRDefault="00180E87" w:rsidP="00D670C6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</w:t>
      </w:r>
      <w:r w:rsidR="005B2823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COMMISSION  de l’UEMOA,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A00B1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D670C6" w:rsidRDefault="00D670C6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F45B28" w:rsidRDefault="00F45B28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645EC4" w:rsidRPr="00D670C6" w:rsidRDefault="00645EC4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3671B8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Tableau 6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</w:t>
      </w:r>
      <w:r w:rsidR="00F247ED">
        <w:rPr>
          <w:rFonts w:ascii="Times New Roman" w:hAnsi="Times New Roman"/>
          <w:b/>
          <w:color w:val="auto"/>
          <w:sz w:val="23"/>
          <w:szCs w:val="23"/>
        </w:rPr>
        <w:t xml:space="preserve"> Indice groupe du mois d’août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>2021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557"/>
        <w:gridCol w:w="105"/>
        <w:gridCol w:w="519"/>
        <w:gridCol w:w="105"/>
        <w:gridCol w:w="619"/>
        <w:gridCol w:w="64"/>
        <w:gridCol w:w="589"/>
        <w:gridCol w:w="105"/>
        <w:gridCol w:w="665"/>
      </w:tblGrid>
      <w:tr w:rsidR="003671B8" w:rsidRPr="00F45B28" w:rsidTr="003A15C4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CC4D3F" w:rsidRPr="00F45B28" w:rsidTr="003A15C4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4D3F" w:rsidRPr="00F45B28" w:rsidRDefault="00CC4D3F" w:rsidP="00CC4D3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avr.-21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mai.-21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juin.-21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CC4D3F" w:rsidRPr="00F45B28" w:rsidRDefault="00CC4D3F" w:rsidP="00CC4D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3671B8" w:rsidRPr="00F45B28" w:rsidTr="003A15C4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6,0%</w:t>
            </w:r>
          </w:p>
        </w:tc>
      </w:tr>
      <w:tr w:rsidR="003A15C4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F45B28" w:rsidRDefault="003A15C4" w:rsidP="003A1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93E09" w:rsidRDefault="003A15C4" w:rsidP="003A15C4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93E0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01010601 Agrumes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75,2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84,3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74,6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-11,5%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-32,4%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-0,9%</w:t>
            </w:r>
          </w:p>
        </w:tc>
      </w:tr>
      <w:tr w:rsidR="003A15C4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F45B28" w:rsidRDefault="003A15C4" w:rsidP="003A1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93E09" w:rsidRDefault="003A15C4" w:rsidP="003A15C4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93E0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01010701 Légumes frais en fruits ou racine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358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56,1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84,1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64,8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-38,0%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-22,9%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15,5%</w:t>
            </w:r>
          </w:p>
        </w:tc>
      </w:tr>
      <w:tr w:rsidR="003A15C4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F45B28" w:rsidRDefault="003A15C4" w:rsidP="003A1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93E09" w:rsidRDefault="003A15C4" w:rsidP="003A15C4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93E0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01010703 Légumes secs et </w:t>
            </w:r>
            <w:proofErr w:type="spellStart"/>
            <w:r w:rsidRPr="00393E0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oleagineux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128,6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123,5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128,2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137,7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7,5%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7,1%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30,3%</w:t>
            </w:r>
          </w:p>
        </w:tc>
      </w:tr>
      <w:tr w:rsidR="003A15C4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F45B28" w:rsidRDefault="003A15C4" w:rsidP="003A1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93E09" w:rsidRDefault="003A15C4" w:rsidP="003A15C4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93E0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01010101 Céréales non transformées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111,6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123,5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127,3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125,3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2,1%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3,6%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14,6%</w:t>
            </w:r>
          </w:p>
        </w:tc>
      </w:tr>
      <w:tr w:rsidR="003A15C4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F45B28" w:rsidRDefault="003A15C4" w:rsidP="003A1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93E09" w:rsidRDefault="003A15C4" w:rsidP="003A15C4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93E0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01010902 Sel, épices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5C4" w:rsidRPr="003A15C4" w:rsidRDefault="003A15C4" w:rsidP="003A15C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A15C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393E09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93E09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Electricite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-4,7%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Meubles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-1,5%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-11,3%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-2,3%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-16,3%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-16,5%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-1,2%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4825CA" w:rsidRPr="00F45B28" w:rsidTr="003A15C4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-2,1%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4825CA" w:rsidRPr="00F45B28" w:rsidTr="003A15C4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F45B28" w:rsidRDefault="004825CA" w:rsidP="004825C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CA" w:rsidRPr="004825CA" w:rsidRDefault="004825CA" w:rsidP="004825C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25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-4,5%</w:t>
            </w:r>
          </w:p>
        </w:tc>
      </w:tr>
    </w:tbl>
    <w:p w:rsidR="003671B8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:rsidR="00C9686E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proofErr w:type="spellStart"/>
      <w:r w:rsidR="00617B75">
        <w:rPr>
          <w:rFonts w:ascii="Times New Roman" w:hAnsi="Times New Roman" w:cs="Times New Roman"/>
          <w:bCs/>
          <w:sz w:val="16"/>
          <w:szCs w:val="16"/>
        </w:rPr>
        <w:t>INStaD</w:t>
      </w:r>
      <w:proofErr w:type="spellEnd"/>
      <w:r w:rsidR="00617B75">
        <w:rPr>
          <w:rFonts w:ascii="Times New Roman" w:hAnsi="Times New Roman" w:cs="Times New Roman"/>
          <w:bCs/>
          <w:sz w:val="16"/>
          <w:szCs w:val="16"/>
        </w:rPr>
        <w:t>/DSS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F247ED">
        <w:rPr>
          <w:rFonts w:ascii="Times New Roman" w:hAnsi="Times New Roman" w:cs="Times New Roman"/>
          <w:bCs/>
          <w:sz w:val="16"/>
          <w:szCs w:val="16"/>
        </w:rPr>
        <w:t>août</w:t>
      </w:r>
      <w:r w:rsidR="00016DC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EB46DA" w:rsidRPr="00AD0E64" w:rsidRDefault="00EB46DA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proofErr w:type="spellStart"/>
      <w:r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  <w:r w:rsidR="00B932C1">
        <w:rPr>
          <w:rFonts w:ascii="Times New Roman" w:hAnsi="Times New Roman" w:cs="Times New Roman"/>
          <w:sz w:val="16"/>
          <w:szCs w:val="16"/>
        </w:rPr>
        <w:t xml:space="preserve">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</w:p>
    <w:p w:rsidR="00360546" w:rsidRPr="00EF65B5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Directrice des Statistiques Sociales : AHOVEY A. Elise C.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Chef Service des Conditions de Vie des Ménages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Collaborateur</w:t>
      </w:r>
      <w:r w:rsidR="00ED1B69">
        <w:rPr>
          <w:rFonts w:ascii="Times New Roman" w:hAnsi="Times New Roman" w:cs="Times New Roman"/>
          <w:sz w:val="16"/>
          <w:szCs w:val="16"/>
        </w:rPr>
        <w:t>s</w:t>
      </w:r>
      <w:r w:rsidRPr="00EF65B5">
        <w:rPr>
          <w:rFonts w:ascii="Times New Roman" w:hAnsi="Times New Roman" w:cs="Times New Roman"/>
          <w:sz w:val="16"/>
          <w:szCs w:val="16"/>
        </w:rPr>
        <w:t> : AKOHONWE D. Marcel</w:t>
      </w:r>
      <w:r w:rsidR="00ED1B69">
        <w:rPr>
          <w:rFonts w:ascii="Times New Roman" w:hAnsi="Times New Roman" w:cs="Times New Roman"/>
          <w:sz w:val="16"/>
          <w:szCs w:val="16"/>
        </w:rPr>
        <w:t>, SATCHA</w:t>
      </w:r>
      <w:r w:rsidR="00F45B28">
        <w:rPr>
          <w:rFonts w:ascii="Times New Roman" w:hAnsi="Times New Roman" w:cs="Times New Roman"/>
          <w:sz w:val="16"/>
          <w:szCs w:val="16"/>
        </w:rPr>
        <w:t xml:space="preserve"> Alain et ELAVAGNON François</w:t>
      </w:r>
    </w:p>
    <w:sectPr w:rsidR="003671B8" w:rsidRPr="00EF65B5" w:rsidSect="007F5C5D">
      <w:footerReference w:type="default" r:id="rId14"/>
      <w:pgSz w:w="11906" w:h="16838"/>
      <w:pgMar w:top="284" w:right="1134" w:bottom="99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F2" w:rsidRDefault="008234F2">
      <w:r>
        <w:separator/>
      </w:r>
    </w:p>
  </w:endnote>
  <w:endnote w:type="continuationSeparator" w:id="0">
    <w:p w:rsidR="008234F2" w:rsidRDefault="008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A1" w:rsidRDefault="00AC575B" w:rsidP="00AC575B">
    <w:pPr>
      <w:pStyle w:val="Pieddepage"/>
      <w:pBdr>
        <w:bottom w:val="thinThickSmallGap" w:sz="24" w:space="1" w:color="339966"/>
      </w:pBdr>
      <w:jc w:val="right"/>
      <w:rPr>
        <w:lang w:val="en-US"/>
      </w:rPr>
    </w:pPr>
    <w:r w:rsidRPr="00AC575B">
      <w:rPr>
        <w:lang w:val="en-US"/>
      </w:rPr>
      <w:t>[</w:t>
    </w:r>
    <w:r w:rsidRPr="00AC575B">
      <w:rPr>
        <w:lang w:val="en-US"/>
      </w:rPr>
      <w:fldChar w:fldCharType="begin"/>
    </w:r>
    <w:r w:rsidRPr="00AC575B">
      <w:rPr>
        <w:lang w:val="en-US"/>
      </w:rPr>
      <w:instrText>PAGE   \* MERGEFORMAT</w:instrText>
    </w:r>
    <w:r w:rsidRPr="00AC575B">
      <w:rPr>
        <w:lang w:val="en-US"/>
      </w:rPr>
      <w:fldChar w:fldCharType="separate"/>
    </w:r>
    <w:r w:rsidR="00851D08">
      <w:rPr>
        <w:noProof/>
        <w:lang w:val="en-US"/>
      </w:rPr>
      <w:t>6</w:t>
    </w:r>
    <w:r w:rsidRPr="00AC575B">
      <w:rPr>
        <w:lang w:val="en-US"/>
      </w:rPr>
      <w:fldChar w:fldCharType="end"/>
    </w:r>
    <w:r w:rsidRPr="00AC575B">
      <w:rPr>
        <w:lang w:val="en-US"/>
      </w:rPr>
      <w:t>]</w:t>
    </w:r>
    <w:r w:rsidR="006978A1">
      <w:rPr>
        <w:lang w:val="en-US"/>
      </w:rPr>
      <w:t xml:space="preserve">                             </w:t>
    </w:r>
    <w:r>
      <w:rPr>
        <w:lang w:val="en-US"/>
      </w:rPr>
      <w:t xml:space="preserve">                               </w:t>
    </w:r>
    <w:r w:rsidR="006978A1">
      <w:rPr>
        <w:lang w:val="en-US"/>
      </w:rPr>
      <w:t xml:space="preserve">                                     </w:t>
    </w:r>
    <w:r>
      <w:rPr>
        <w:lang w:val="en-US"/>
      </w:rPr>
      <w:t xml:space="preserve">                               </w:t>
    </w:r>
    <w:r w:rsidR="006978A1">
      <w:rPr>
        <w:lang w:val="en-US"/>
      </w:rPr>
      <w:t xml:space="preserve">                                                                                        </w:t>
    </w:r>
    <w:r>
      <w:rPr>
        <w:lang w:val="en-US"/>
      </w:rPr>
      <w:t xml:space="preserve">  </w:t>
    </w:r>
  </w:p>
  <w:p w:rsidR="006978A1" w:rsidRPr="00262D3A" w:rsidRDefault="00F15652" w:rsidP="00AD0E64">
    <w:pPr>
      <w:pStyle w:val="Pieddepage"/>
      <w:tabs>
        <w:tab w:val="left" w:pos="6096"/>
        <w:tab w:val="left" w:pos="6379"/>
      </w:tabs>
      <w:contextualSpacing/>
      <w:rPr>
        <w:rFonts w:ascii="Montserrat Light" w:hAnsi="Montserrat Light"/>
        <w:sz w:val="16"/>
        <w:szCs w:val="16"/>
      </w:rPr>
    </w:pPr>
    <w:r w:rsidRPr="00262D3A">
      <w:rPr>
        <w:rFonts w:ascii="Montserrat Light" w:hAnsi="Montserrat Light"/>
        <w:sz w:val="16"/>
        <w:szCs w:val="16"/>
      </w:rPr>
      <w:t xml:space="preserve">Téléphone : 21-30-82-44                </w:t>
    </w:r>
    <w:r>
      <w:rPr>
        <w:rFonts w:ascii="Montserrat Light" w:hAnsi="Montserrat Light"/>
        <w:sz w:val="16"/>
        <w:szCs w:val="16"/>
      </w:rPr>
      <w:t xml:space="preserve">                             </w:t>
    </w:r>
    <w:r w:rsidRPr="00262D3A">
      <w:rPr>
        <w:rFonts w:ascii="Montserrat Light" w:hAnsi="Montserrat Light"/>
        <w:sz w:val="16"/>
        <w:szCs w:val="16"/>
      </w:rPr>
      <w:t xml:space="preserve">01 B.P. : 323 </w:t>
    </w:r>
    <w:r w:rsidRPr="00262D3A">
      <w:rPr>
        <w:rFonts w:ascii="Montserrat Light" w:hAnsi="Montserrat Light"/>
        <w:sz w:val="16"/>
        <w:szCs w:val="16"/>
        <w:lang w:val="pt-PT"/>
      </w:rPr>
      <w:t xml:space="preserve">COTONOU </w:t>
    </w:r>
    <w:r>
      <w:rPr>
        <w:rFonts w:ascii="Montserrat Light" w:hAnsi="Montserrat Light"/>
        <w:sz w:val="16"/>
        <w:szCs w:val="16"/>
        <w:lang w:val="pt-PT"/>
      </w:rPr>
      <w:t>–</w:t>
    </w:r>
    <w:r w:rsidRPr="00262D3A">
      <w:rPr>
        <w:rFonts w:ascii="Montserrat Light" w:hAnsi="Montserrat Light"/>
        <w:sz w:val="16"/>
        <w:szCs w:val="16"/>
        <w:lang w:val="pt-PT"/>
      </w:rPr>
      <w:t>BENIN</w:t>
    </w:r>
    <w:r>
      <w:rPr>
        <w:rFonts w:ascii="Montserrat Light" w:hAnsi="Montserrat Light"/>
        <w:sz w:val="16"/>
        <w:szCs w:val="16"/>
        <w:lang w:val="pt-PT"/>
      </w:rPr>
      <w:t xml:space="preserve">         </w:t>
    </w:r>
    <w:r w:rsidR="006978A1">
      <w:rPr>
        <w:rFonts w:ascii="Montserrat Light" w:hAnsi="Montserrat Light"/>
        <w:sz w:val="16"/>
        <w:szCs w:val="16"/>
        <w:lang w:val="pt-PT"/>
      </w:rPr>
      <w:t xml:space="preserve">                             </w:t>
    </w:r>
    <w:r w:rsidRPr="00262D3A">
      <w:rPr>
        <w:rFonts w:ascii="Montserrat Light" w:hAnsi="Montserrat Light"/>
        <w:sz w:val="16"/>
        <w:szCs w:val="16"/>
      </w:rPr>
      <w:t>IFU</w:t>
    </w:r>
    <w:r w:rsidR="006978A1">
      <w:rPr>
        <w:rFonts w:ascii="Montserrat Light" w:hAnsi="Montserrat Light"/>
        <w:sz w:val="16"/>
        <w:szCs w:val="16"/>
      </w:rPr>
      <w:t xml:space="preserve"> : 4201001686513                </w:t>
    </w:r>
  </w:p>
  <w:p w:rsidR="006978A1" w:rsidRPr="00AC575B" w:rsidRDefault="006978A1" w:rsidP="00AC575B">
    <w:pPr>
      <w:pStyle w:val="Pieddepage"/>
      <w:tabs>
        <w:tab w:val="left" w:pos="6096"/>
        <w:tab w:val="left" w:pos="6379"/>
      </w:tabs>
      <w:rPr>
        <w:sz w:val="18"/>
        <w:szCs w:val="18"/>
      </w:rPr>
    </w:pPr>
    <w:r>
      <w:rPr>
        <w:rFonts w:ascii="Montserrat Light" w:hAnsi="Montserrat Light"/>
        <w:sz w:val="16"/>
        <w:szCs w:val="16"/>
        <w:lang w:val="pt-PT"/>
      </w:rPr>
      <w:t xml:space="preserve">                      </w:t>
    </w:r>
    <w:r w:rsidRPr="00262D3A">
      <w:rPr>
        <w:rFonts w:ascii="Montserrat Light" w:hAnsi="Montserrat Light"/>
        <w:sz w:val="16"/>
        <w:szCs w:val="16"/>
        <w:lang w:val="pt-PT"/>
      </w:rPr>
      <w:t xml:space="preserve">21-30-82-45                     </w:t>
    </w:r>
    <w:r>
      <w:rPr>
        <w:rFonts w:ascii="Montserrat Light" w:hAnsi="Montserrat Light"/>
        <w:sz w:val="16"/>
        <w:szCs w:val="16"/>
        <w:lang w:val="pt-PT"/>
      </w:rPr>
      <w:t xml:space="preserve">                             </w:t>
    </w:r>
    <w:r w:rsidRPr="00262D3A">
      <w:rPr>
        <w:rFonts w:ascii="Montserrat Light" w:hAnsi="Montserrat Light"/>
        <w:sz w:val="16"/>
        <w:szCs w:val="16"/>
        <w:lang w:val="pt-PT"/>
      </w:rPr>
      <w:t xml:space="preserve">E-mail : </w:t>
    </w:r>
    <w:hyperlink r:id="rId1" w:history="1">
      <w:r w:rsidRPr="007B4AD3">
        <w:rPr>
          <w:rStyle w:val="Lienhypertexte"/>
          <w:rFonts w:ascii="Montserrat Light" w:hAnsi="Montserrat Light"/>
          <w:sz w:val="16"/>
          <w:szCs w:val="16"/>
          <w:lang w:val="pt-PT"/>
        </w:rPr>
        <w:t>insae@insae.bj</w:t>
      </w:r>
    </w:hyperlink>
    <w:r w:rsidRPr="008B192F">
      <w:rPr>
        <w:rStyle w:val="Lienhypertexte"/>
        <w:rFonts w:ascii="Montserrat Light" w:hAnsi="Montserrat Light"/>
        <w:sz w:val="16"/>
        <w:szCs w:val="16"/>
        <w:u w:val="none"/>
        <w:lang w:val="pt-PT"/>
      </w:rPr>
      <w:t xml:space="preserve">                </w:t>
    </w:r>
    <w:r>
      <w:rPr>
        <w:rStyle w:val="Lienhypertexte"/>
        <w:rFonts w:ascii="Montserrat Light" w:hAnsi="Montserrat Light"/>
        <w:sz w:val="16"/>
        <w:szCs w:val="16"/>
        <w:u w:val="none"/>
        <w:lang w:val="pt-PT"/>
      </w:rPr>
      <w:t xml:space="preserve">                       </w:t>
    </w:r>
    <w:r w:rsidRPr="00262D3A">
      <w:rPr>
        <w:rFonts w:ascii="Montserrat Light" w:hAnsi="Montserrat Light"/>
        <w:sz w:val="16"/>
        <w:szCs w:val="16"/>
      </w:rPr>
      <w:t xml:space="preserve">Site Web : </w:t>
    </w:r>
    <w:r w:rsidRPr="0062689B">
      <w:rPr>
        <w:rFonts w:ascii="Montserrat Light" w:hAnsi="Montserrat Light"/>
        <w:sz w:val="16"/>
        <w:szCs w:val="16"/>
        <w:u w:val="single"/>
      </w:rPr>
      <w:t>www.insae.bj</w:t>
    </w:r>
    <w:r w:rsidR="00AC575B"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F2" w:rsidRDefault="008234F2">
      <w:r>
        <w:separator/>
      </w:r>
    </w:p>
  </w:footnote>
  <w:footnote w:type="continuationSeparator" w:id="0">
    <w:p w:rsidR="008234F2" w:rsidRDefault="008234F2">
      <w:r>
        <w:continuationSeparator/>
      </w:r>
    </w:p>
  </w:footnote>
  <w:footnote w:id="1">
    <w:p w:rsidR="006978A1" w:rsidRPr="00091BE3" w:rsidRDefault="006978A1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29B6"/>
    <w:rsid w:val="000070CC"/>
    <w:rsid w:val="00015224"/>
    <w:rsid w:val="00016DCE"/>
    <w:rsid w:val="00017FDB"/>
    <w:rsid w:val="00025F0B"/>
    <w:rsid w:val="0003200C"/>
    <w:rsid w:val="000323F2"/>
    <w:rsid w:val="00052360"/>
    <w:rsid w:val="000526CE"/>
    <w:rsid w:val="00053949"/>
    <w:rsid w:val="00062FF2"/>
    <w:rsid w:val="00070A4E"/>
    <w:rsid w:val="00075822"/>
    <w:rsid w:val="000814FF"/>
    <w:rsid w:val="00083A4B"/>
    <w:rsid w:val="000931EB"/>
    <w:rsid w:val="000A06CD"/>
    <w:rsid w:val="000A5B88"/>
    <w:rsid w:val="000B537B"/>
    <w:rsid w:val="000C45BD"/>
    <w:rsid w:val="000D0552"/>
    <w:rsid w:val="000D1180"/>
    <w:rsid w:val="000D6DEB"/>
    <w:rsid w:val="000F0B2D"/>
    <w:rsid w:val="000F25D0"/>
    <w:rsid w:val="000F38EB"/>
    <w:rsid w:val="000F54CE"/>
    <w:rsid w:val="001006AD"/>
    <w:rsid w:val="00101AFF"/>
    <w:rsid w:val="00104905"/>
    <w:rsid w:val="00104AC7"/>
    <w:rsid w:val="00123C7B"/>
    <w:rsid w:val="001336BC"/>
    <w:rsid w:val="001338AA"/>
    <w:rsid w:val="00134762"/>
    <w:rsid w:val="00136ABB"/>
    <w:rsid w:val="0015093E"/>
    <w:rsid w:val="0015436C"/>
    <w:rsid w:val="00154663"/>
    <w:rsid w:val="00154BDD"/>
    <w:rsid w:val="0017215B"/>
    <w:rsid w:val="00180E87"/>
    <w:rsid w:val="00186229"/>
    <w:rsid w:val="00193395"/>
    <w:rsid w:val="0019394B"/>
    <w:rsid w:val="00194F76"/>
    <w:rsid w:val="00195FF9"/>
    <w:rsid w:val="001A0AB0"/>
    <w:rsid w:val="001A3E20"/>
    <w:rsid w:val="001A5158"/>
    <w:rsid w:val="001A60CB"/>
    <w:rsid w:val="001B2909"/>
    <w:rsid w:val="001C17F8"/>
    <w:rsid w:val="001C3A4D"/>
    <w:rsid w:val="001C5AA1"/>
    <w:rsid w:val="001D3E26"/>
    <w:rsid w:val="001D48EB"/>
    <w:rsid w:val="001D642F"/>
    <w:rsid w:val="001D72DF"/>
    <w:rsid w:val="00200463"/>
    <w:rsid w:val="00202859"/>
    <w:rsid w:val="00205E72"/>
    <w:rsid w:val="00205F6C"/>
    <w:rsid w:val="00211BED"/>
    <w:rsid w:val="00217CAA"/>
    <w:rsid w:val="002213B9"/>
    <w:rsid w:val="00222F57"/>
    <w:rsid w:val="00231744"/>
    <w:rsid w:val="0023290D"/>
    <w:rsid w:val="00235369"/>
    <w:rsid w:val="0023597F"/>
    <w:rsid w:val="002370EA"/>
    <w:rsid w:val="00240F78"/>
    <w:rsid w:val="00255583"/>
    <w:rsid w:val="00255646"/>
    <w:rsid w:val="00260480"/>
    <w:rsid w:val="00262D3A"/>
    <w:rsid w:val="002661DB"/>
    <w:rsid w:val="00286945"/>
    <w:rsid w:val="00286CEB"/>
    <w:rsid w:val="00287418"/>
    <w:rsid w:val="00287649"/>
    <w:rsid w:val="00294508"/>
    <w:rsid w:val="002967E0"/>
    <w:rsid w:val="002A075E"/>
    <w:rsid w:val="002A775F"/>
    <w:rsid w:val="002C4BBA"/>
    <w:rsid w:val="002C6839"/>
    <w:rsid w:val="002E0595"/>
    <w:rsid w:val="002E26B4"/>
    <w:rsid w:val="003022A6"/>
    <w:rsid w:val="003030A5"/>
    <w:rsid w:val="0030459A"/>
    <w:rsid w:val="0030704E"/>
    <w:rsid w:val="003237F5"/>
    <w:rsid w:val="003256CC"/>
    <w:rsid w:val="003278D4"/>
    <w:rsid w:val="003325FE"/>
    <w:rsid w:val="00332968"/>
    <w:rsid w:val="0033692A"/>
    <w:rsid w:val="00336A6A"/>
    <w:rsid w:val="0034156F"/>
    <w:rsid w:val="003460E8"/>
    <w:rsid w:val="00352E34"/>
    <w:rsid w:val="00356D08"/>
    <w:rsid w:val="00360546"/>
    <w:rsid w:val="00362FA1"/>
    <w:rsid w:val="00364437"/>
    <w:rsid w:val="003671B8"/>
    <w:rsid w:val="0039225F"/>
    <w:rsid w:val="00393E09"/>
    <w:rsid w:val="00394056"/>
    <w:rsid w:val="00397433"/>
    <w:rsid w:val="00397D09"/>
    <w:rsid w:val="003A15C4"/>
    <w:rsid w:val="003A1ABA"/>
    <w:rsid w:val="003A5639"/>
    <w:rsid w:val="003A7171"/>
    <w:rsid w:val="003B1E9B"/>
    <w:rsid w:val="003B48B9"/>
    <w:rsid w:val="003B5C79"/>
    <w:rsid w:val="003C343B"/>
    <w:rsid w:val="003D1F89"/>
    <w:rsid w:val="003D3CEE"/>
    <w:rsid w:val="003E2810"/>
    <w:rsid w:val="003E2A8A"/>
    <w:rsid w:val="003E4118"/>
    <w:rsid w:val="003E5DB0"/>
    <w:rsid w:val="003F7A38"/>
    <w:rsid w:val="0040497C"/>
    <w:rsid w:val="004059DF"/>
    <w:rsid w:val="00416C85"/>
    <w:rsid w:val="0042123F"/>
    <w:rsid w:val="00422F07"/>
    <w:rsid w:val="0042781F"/>
    <w:rsid w:val="00435E0B"/>
    <w:rsid w:val="00440CD2"/>
    <w:rsid w:val="0044187D"/>
    <w:rsid w:val="00443B27"/>
    <w:rsid w:val="00450496"/>
    <w:rsid w:val="00451C49"/>
    <w:rsid w:val="00453753"/>
    <w:rsid w:val="004542EC"/>
    <w:rsid w:val="00456052"/>
    <w:rsid w:val="004577D5"/>
    <w:rsid w:val="004601CD"/>
    <w:rsid w:val="0046672A"/>
    <w:rsid w:val="00467D5A"/>
    <w:rsid w:val="00474248"/>
    <w:rsid w:val="004749CB"/>
    <w:rsid w:val="004825CA"/>
    <w:rsid w:val="00487666"/>
    <w:rsid w:val="00487840"/>
    <w:rsid w:val="004A7351"/>
    <w:rsid w:val="004B072F"/>
    <w:rsid w:val="004B0E3A"/>
    <w:rsid w:val="004C0AB0"/>
    <w:rsid w:val="004D3597"/>
    <w:rsid w:val="004D533D"/>
    <w:rsid w:val="004D75B7"/>
    <w:rsid w:val="004D7E57"/>
    <w:rsid w:val="004D7FDD"/>
    <w:rsid w:val="004E4B8A"/>
    <w:rsid w:val="004F127F"/>
    <w:rsid w:val="005034F5"/>
    <w:rsid w:val="005121E1"/>
    <w:rsid w:val="00520570"/>
    <w:rsid w:val="00522AB6"/>
    <w:rsid w:val="00530285"/>
    <w:rsid w:val="0053423F"/>
    <w:rsid w:val="00553A9E"/>
    <w:rsid w:val="0056439E"/>
    <w:rsid w:val="005758FB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92158"/>
    <w:rsid w:val="005A50B8"/>
    <w:rsid w:val="005A5C89"/>
    <w:rsid w:val="005B0154"/>
    <w:rsid w:val="005B1AEA"/>
    <w:rsid w:val="005B2823"/>
    <w:rsid w:val="005B289E"/>
    <w:rsid w:val="005B4051"/>
    <w:rsid w:val="005C18B2"/>
    <w:rsid w:val="005C5AA9"/>
    <w:rsid w:val="005D1318"/>
    <w:rsid w:val="005D1F00"/>
    <w:rsid w:val="005D2D79"/>
    <w:rsid w:val="005D4C2E"/>
    <w:rsid w:val="005D508A"/>
    <w:rsid w:val="005E043E"/>
    <w:rsid w:val="005E0968"/>
    <w:rsid w:val="005E3A2C"/>
    <w:rsid w:val="005F0988"/>
    <w:rsid w:val="005F31C6"/>
    <w:rsid w:val="00602416"/>
    <w:rsid w:val="00612960"/>
    <w:rsid w:val="0061426F"/>
    <w:rsid w:val="00615488"/>
    <w:rsid w:val="00617B75"/>
    <w:rsid w:val="0062242D"/>
    <w:rsid w:val="006259A8"/>
    <w:rsid w:val="0062689B"/>
    <w:rsid w:val="00630B86"/>
    <w:rsid w:val="0063318D"/>
    <w:rsid w:val="00636321"/>
    <w:rsid w:val="00637FA0"/>
    <w:rsid w:val="00640502"/>
    <w:rsid w:val="00645EC4"/>
    <w:rsid w:val="00650044"/>
    <w:rsid w:val="00651BB0"/>
    <w:rsid w:val="0065292B"/>
    <w:rsid w:val="006565B1"/>
    <w:rsid w:val="00690FC6"/>
    <w:rsid w:val="006972F4"/>
    <w:rsid w:val="006978A1"/>
    <w:rsid w:val="006A4E49"/>
    <w:rsid w:val="006A7CC5"/>
    <w:rsid w:val="006B0735"/>
    <w:rsid w:val="006D0D6F"/>
    <w:rsid w:val="006D563C"/>
    <w:rsid w:val="006E2DEF"/>
    <w:rsid w:val="006F28B6"/>
    <w:rsid w:val="006F2DDD"/>
    <w:rsid w:val="00702005"/>
    <w:rsid w:val="00705EFF"/>
    <w:rsid w:val="00710E2A"/>
    <w:rsid w:val="00721CA6"/>
    <w:rsid w:val="007220AE"/>
    <w:rsid w:val="0072309F"/>
    <w:rsid w:val="00730DD7"/>
    <w:rsid w:val="00733198"/>
    <w:rsid w:val="00751F08"/>
    <w:rsid w:val="007545AB"/>
    <w:rsid w:val="00754CAC"/>
    <w:rsid w:val="00761BE6"/>
    <w:rsid w:val="007633A3"/>
    <w:rsid w:val="00767ADC"/>
    <w:rsid w:val="00770D05"/>
    <w:rsid w:val="00770ED4"/>
    <w:rsid w:val="007715EC"/>
    <w:rsid w:val="00785524"/>
    <w:rsid w:val="007944D0"/>
    <w:rsid w:val="007A2730"/>
    <w:rsid w:val="007A2F55"/>
    <w:rsid w:val="007A3FB9"/>
    <w:rsid w:val="007A45A1"/>
    <w:rsid w:val="007B2C2C"/>
    <w:rsid w:val="007B2EE2"/>
    <w:rsid w:val="007C7C6E"/>
    <w:rsid w:val="007D037E"/>
    <w:rsid w:val="007D17BA"/>
    <w:rsid w:val="007D59A2"/>
    <w:rsid w:val="007E6837"/>
    <w:rsid w:val="007F1A38"/>
    <w:rsid w:val="007F5C5D"/>
    <w:rsid w:val="0080208F"/>
    <w:rsid w:val="00803487"/>
    <w:rsid w:val="00804E04"/>
    <w:rsid w:val="00806A4A"/>
    <w:rsid w:val="00812092"/>
    <w:rsid w:val="0081467C"/>
    <w:rsid w:val="008234F2"/>
    <w:rsid w:val="00831075"/>
    <w:rsid w:val="008312F1"/>
    <w:rsid w:val="008316F1"/>
    <w:rsid w:val="00834264"/>
    <w:rsid w:val="00836A66"/>
    <w:rsid w:val="00844BD0"/>
    <w:rsid w:val="00851D08"/>
    <w:rsid w:val="00854566"/>
    <w:rsid w:val="00854853"/>
    <w:rsid w:val="008636B0"/>
    <w:rsid w:val="00865167"/>
    <w:rsid w:val="008704D2"/>
    <w:rsid w:val="00873ED6"/>
    <w:rsid w:val="008844FF"/>
    <w:rsid w:val="00890434"/>
    <w:rsid w:val="008A4593"/>
    <w:rsid w:val="008B16A1"/>
    <w:rsid w:val="008B192F"/>
    <w:rsid w:val="008B5D6B"/>
    <w:rsid w:val="008D181B"/>
    <w:rsid w:val="008D1DD5"/>
    <w:rsid w:val="008D49FD"/>
    <w:rsid w:val="008E1210"/>
    <w:rsid w:val="008E3D0C"/>
    <w:rsid w:val="008E5A57"/>
    <w:rsid w:val="008E620E"/>
    <w:rsid w:val="008F03D9"/>
    <w:rsid w:val="009050D4"/>
    <w:rsid w:val="00910B3F"/>
    <w:rsid w:val="00930E3D"/>
    <w:rsid w:val="00931FD3"/>
    <w:rsid w:val="00932E80"/>
    <w:rsid w:val="00945573"/>
    <w:rsid w:val="009533F3"/>
    <w:rsid w:val="00955E41"/>
    <w:rsid w:val="00956DBD"/>
    <w:rsid w:val="009615E2"/>
    <w:rsid w:val="009656B7"/>
    <w:rsid w:val="00971549"/>
    <w:rsid w:val="0097441C"/>
    <w:rsid w:val="0097627D"/>
    <w:rsid w:val="00983E63"/>
    <w:rsid w:val="009A1366"/>
    <w:rsid w:val="009A19C1"/>
    <w:rsid w:val="009A2E9F"/>
    <w:rsid w:val="009A47B7"/>
    <w:rsid w:val="009B1041"/>
    <w:rsid w:val="009B79F4"/>
    <w:rsid w:val="009D13C0"/>
    <w:rsid w:val="009D4B94"/>
    <w:rsid w:val="009E1CF0"/>
    <w:rsid w:val="009E4130"/>
    <w:rsid w:val="009F09EF"/>
    <w:rsid w:val="009F11B5"/>
    <w:rsid w:val="00A00B1E"/>
    <w:rsid w:val="00A024CA"/>
    <w:rsid w:val="00A112FB"/>
    <w:rsid w:val="00A1710E"/>
    <w:rsid w:val="00A238DB"/>
    <w:rsid w:val="00A24EF0"/>
    <w:rsid w:val="00A25E79"/>
    <w:rsid w:val="00A44EFD"/>
    <w:rsid w:val="00A47700"/>
    <w:rsid w:val="00A50B4A"/>
    <w:rsid w:val="00A50E0E"/>
    <w:rsid w:val="00A55318"/>
    <w:rsid w:val="00A57D52"/>
    <w:rsid w:val="00A61B90"/>
    <w:rsid w:val="00A65022"/>
    <w:rsid w:val="00A702C0"/>
    <w:rsid w:val="00A73086"/>
    <w:rsid w:val="00A86877"/>
    <w:rsid w:val="00AC011D"/>
    <w:rsid w:val="00AC1745"/>
    <w:rsid w:val="00AC575B"/>
    <w:rsid w:val="00AD0E64"/>
    <w:rsid w:val="00AF35CD"/>
    <w:rsid w:val="00B00AB2"/>
    <w:rsid w:val="00B0115D"/>
    <w:rsid w:val="00B16003"/>
    <w:rsid w:val="00B164D2"/>
    <w:rsid w:val="00B20B3B"/>
    <w:rsid w:val="00B26D4B"/>
    <w:rsid w:val="00B41C78"/>
    <w:rsid w:val="00B54150"/>
    <w:rsid w:val="00B54C88"/>
    <w:rsid w:val="00B57B13"/>
    <w:rsid w:val="00B60BEE"/>
    <w:rsid w:val="00B64F90"/>
    <w:rsid w:val="00B8553D"/>
    <w:rsid w:val="00B932C1"/>
    <w:rsid w:val="00BA0195"/>
    <w:rsid w:val="00BA3597"/>
    <w:rsid w:val="00BB5036"/>
    <w:rsid w:val="00BC270D"/>
    <w:rsid w:val="00BD11EB"/>
    <w:rsid w:val="00BD59F7"/>
    <w:rsid w:val="00BE28ED"/>
    <w:rsid w:val="00BE66FA"/>
    <w:rsid w:val="00BF01EA"/>
    <w:rsid w:val="00BF596E"/>
    <w:rsid w:val="00BF7584"/>
    <w:rsid w:val="00C0481C"/>
    <w:rsid w:val="00C14621"/>
    <w:rsid w:val="00C15A3B"/>
    <w:rsid w:val="00C15E77"/>
    <w:rsid w:val="00C21424"/>
    <w:rsid w:val="00C2412B"/>
    <w:rsid w:val="00C26A1D"/>
    <w:rsid w:val="00C41D2B"/>
    <w:rsid w:val="00C44A29"/>
    <w:rsid w:val="00C44AD1"/>
    <w:rsid w:val="00C51117"/>
    <w:rsid w:val="00C562CF"/>
    <w:rsid w:val="00C75B0A"/>
    <w:rsid w:val="00C76626"/>
    <w:rsid w:val="00C80059"/>
    <w:rsid w:val="00C80FD5"/>
    <w:rsid w:val="00C83454"/>
    <w:rsid w:val="00C843F9"/>
    <w:rsid w:val="00C90823"/>
    <w:rsid w:val="00C963FD"/>
    <w:rsid w:val="00C9686E"/>
    <w:rsid w:val="00CA6611"/>
    <w:rsid w:val="00CA6AD5"/>
    <w:rsid w:val="00CB09E8"/>
    <w:rsid w:val="00CB0B44"/>
    <w:rsid w:val="00CB7077"/>
    <w:rsid w:val="00CC216E"/>
    <w:rsid w:val="00CC4D3F"/>
    <w:rsid w:val="00CC6C64"/>
    <w:rsid w:val="00CC763B"/>
    <w:rsid w:val="00CE2168"/>
    <w:rsid w:val="00CE492B"/>
    <w:rsid w:val="00CE598C"/>
    <w:rsid w:val="00CF4A89"/>
    <w:rsid w:val="00D0573E"/>
    <w:rsid w:val="00D06349"/>
    <w:rsid w:val="00D13313"/>
    <w:rsid w:val="00D20BC4"/>
    <w:rsid w:val="00D21A64"/>
    <w:rsid w:val="00D2566D"/>
    <w:rsid w:val="00D267BE"/>
    <w:rsid w:val="00D30AFA"/>
    <w:rsid w:val="00D33CD9"/>
    <w:rsid w:val="00D34197"/>
    <w:rsid w:val="00D3649F"/>
    <w:rsid w:val="00D41C5D"/>
    <w:rsid w:val="00D532FE"/>
    <w:rsid w:val="00D66A54"/>
    <w:rsid w:val="00D670C6"/>
    <w:rsid w:val="00D7059F"/>
    <w:rsid w:val="00D90815"/>
    <w:rsid w:val="00D95738"/>
    <w:rsid w:val="00D97D76"/>
    <w:rsid w:val="00DA066E"/>
    <w:rsid w:val="00DB6180"/>
    <w:rsid w:val="00DC45BA"/>
    <w:rsid w:val="00DD2EB2"/>
    <w:rsid w:val="00DE174A"/>
    <w:rsid w:val="00DE3D28"/>
    <w:rsid w:val="00DF5FB0"/>
    <w:rsid w:val="00E200D5"/>
    <w:rsid w:val="00E30742"/>
    <w:rsid w:val="00E30F76"/>
    <w:rsid w:val="00E36D16"/>
    <w:rsid w:val="00E44FB0"/>
    <w:rsid w:val="00E60E7F"/>
    <w:rsid w:val="00E61568"/>
    <w:rsid w:val="00E61B69"/>
    <w:rsid w:val="00E65DE1"/>
    <w:rsid w:val="00E6656D"/>
    <w:rsid w:val="00E72A3E"/>
    <w:rsid w:val="00E731F6"/>
    <w:rsid w:val="00E84322"/>
    <w:rsid w:val="00E878E8"/>
    <w:rsid w:val="00EA37C7"/>
    <w:rsid w:val="00EB071D"/>
    <w:rsid w:val="00EB07A7"/>
    <w:rsid w:val="00EB1632"/>
    <w:rsid w:val="00EB3E47"/>
    <w:rsid w:val="00EB46DA"/>
    <w:rsid w:val="00EC5D3D"/>
    <w:rsid w:val="00ED1B48"/>
    <w:rsid w:val="00ED1B69"/>
    <w:rsid w:val="00EF0798"/>
    <w:rsid w:val="00EF12EE"/>
    <w:rsid w:val="00EF468E"/>
    <w:rsid w:val="00EF4E7A"/>
    <w:rsid w:val="00EF65B5"/>
    <w:rsid w:val="00EF7E1C"/>
    <w:rsid w:val="00F01E3C"/>
    <w:rsid w:val="00F02A94"/>
    <w:rsid w:val="00F069C9"/>
    <w:rsid w:val="00F15652"/>
    <w:rsid w:val="00F22D57"/>
    <w:rsid w:val="00F23F31"/>
    <w:rsid w:val="00F245EC"/>
    <w:rsid w:val="00F247ED"/>
    <w:rsid w:val="00F30DB9"/>
    <w:rsid w:val="00F35A3C"/>
    <w:rsid w:val="00F44DAD"/>
    <w:rsid w:val="00F45B28"/>
    <w:rsid w:val="00F4774D"/>
    <w:rsid w:val="00F81425"/>
    <w:rsid w:val="00F81B37"/>
    <w:rsid w:val="00F83085"/>
    <w:rsid w:val="00F90898"/>
    <w:rsid w:val="00F94DCD"/>
    <w:rsid w:val="00F95652"/>
    <w:rsid w:val="00FA6EAE"/>
    <w:rsid w:val="00FB516B"/>
    <w:rsid w:val="00FC3DC3"/>
    <w:rsid w:val="00FC5523"/>
    <w:rsid w:val="00FD2F80"/>
    <w:rsid w:val="00FD3299"/>
    <w:rsid w:val="00FE0938"/>
    <w:rsid w:val="00FE1078"/>
    <w:rsid w:val="00FE17DC"/>
    <w:rsid w:val="00FF552F"/>
    <w:rsid w:val="00FF5E2D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9819B7-BCC3-434C-86C7-56A0307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ae@insae.b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Ao&#251;t%202021\Fichier%20publication%20IHP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Ao&#251;t%202021\Fichier%20publication%20IHP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Ao&#251;t%202021\Fichier%20publication%20IHP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Ao&#251;t%202021\Fichier%20publication%20IHP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Publication\Ao&#251;t%202021\Fichier%20publication%20IHP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3442050263197665"/>
          <c:h val="0.7615762613006708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-8.7401092706833605E-3</c:v>
                </c:pt>
                <c:pt idx="1">
                  <c:v>-1.0732861317790054E-2</c:v>
                </c:pt>
                <c:pt idx="2">
                  <c:v>-1.1244557741498573E-2</c:v>
                </c:pt>
                <c:pt idx="3">
                  <c:v>-9.5605523631185907E-3</c:v>
                </c:pt>
                <c:pt idx="4">
                  <c:v>-9.1677761877134722E-3</c:v>
                </c:pt>
                <c:pt idx="5">
                  <c:v>-9.4735340612615015E-3</c:v>
                </c:pt>
                <c:pt idx="6">
                  <c:v>-5.5692576164446672E-3</c:v>
                </c:pt>
                <c:pt idx="7">
                  <c:v>-4.1690264853228021E-3</c:v>
                </c:pt>
                <c:pt idx="8">
                  <c:v>-2.697085265478405E-4</c:v>
                </c:pt>
                <c:pt idx="9">
                  <c:v>2.4228380120114856E-3</c:v>
                </c:pt>
                <c:pt idx="10">
                  <c:v>8.8157100215808804E-3</c:v>
                </c:pt>
                <c:pt idx="11">
                  <c:v>1.4415128700460578E-2</c:v>
                </c:pt>
                <c:pt idx="12">
                  <c:v>1.9689888687677737E-2</c:v>
                </c:pt>
                <c:pt idx="13">
                  <c:v>2.5109728727676917E-2</c:v>
                </c:pt>
                <c:pt idx="14">
                  <c:v>2.9204194580787268E-2</c:v>
                </c:pt>
                <c:pt idx="15">
                  <c:v>2.973384079921737E-2</c:v>
                </c:pt>
                <c:pt idx="16">
                  <c:v>3.0340457710139379E-2</c:v>
                </c:pt>
                <c:pt idx="17">
                  <c:v>2.9402485650161347E-2</c:v>
                </c:pt>
                <c:pt idx="18">
                  <c:v>2.4960882674448293E-2</c:v>
                </c:pt>
                <c:pt idx="19">
                  <c:v>2.2731017741560722E-2</c:v>
                </c:pt>
                <c:pt idx="20">
                  <c:v>2.0472449881975274E-2</c:v>
                </c:pt>
                <c:pt idx="21">
                  <c:v>2.0013003576349941E-2</c:v>
                </c:pt>
                <c:pt idx="22">
                  <c:v>2.0702530647658923E-2</c:v>
                </c:pt>
                <c:pt idx="23">
                  <c:v>1.9586440021216456E-2</c:v>
                </c:pt>
                <c:pt idx="24">
                  <c:v>1.6934701336837499E-2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20417280"/>
        <c:axId val="-320416736"/>
      </c:lineChart>
      <c:dateAx>
        <c:axId val="-3204172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320416736"/>
        <c:crosses val="autoZero"/>
        <c:auto val="1"/>
        <c:lblOffset val="100"/>
        <c:baseTimeUnit val="months"/>
        <c:majorUnit val="1"/>
        <c:majorTimeUnit val="months"/>
      </c:dateAx>
      <c:valAx>
        <c:axId val="-32041673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32041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1824817518248179"/>
          <c:h val="0.156950507768807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70152668416447961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global et IHPFE'!$B$2:$Z$2</c:f>
              <c:numCache>
                <c:formatCode>0</c:formatCode>
                <c:ptCount val="25"/>
                <c:pt idx="0">
                  <c:v>100.13558900000001</c:v>
                </c:pt>
                <c:pt idx="1">
                  <c:v>99.654730000000001</c:v>
                </c:pt>
                <c:pt idx="2">
                  <c:v>100.45093699999998</c:v>
                </c:pt>
                <c:pt idx="3">
                  <c:v>102.25340300000002</c:v>
                </c:pt>
                <c:pt idx="4">
                  <c:v>101.45709399999998</c:v>
                </c:pt>
                <c:pt idx="5">
                  <c:v>103.134863</c:v>
                </c:pt>
                <c:pt idx="6">
                  <c:v>104.170368</c:v>
                </c:pt>
                <c:pt idx="7">
                  <c:v>103.70098599999997</c:v>
                </c:pt>
                <c:pt idx="8" formatCode="0.00">
                  <c:v>103.78508400000001</c:v>
                </c:pt>
                <c:pt idx="9" formatCode="0.0">
                  <c:v>104.54825599999999</c:v>
                </c:pt>
                <c:pt idx="10" formatCode="0.0">
                  <c:v>104.40264599999999</c:v>
                </c:pt>
                <c:pt idx="11" formatCode="0.0">
                  <c:v>105.36057199999999</c:v>
                </c:pt>
                <c:pt idx="12" formatCode="0.0">
                  <c:v>104.81240799999999</c:v>
                </c:pt>
                <c:pt idx="13" formatCode="0.0">
                  <c:v>104.49181</c:v>
                </c:pt>
                <c:pt idx="14" formatCode="0.0">
                  <c:v>104.92507599999998</c:v>
                </c:pt>
                <c:pt idx="15" formatCode="0.0">
                  <c:v>104.40885400000002</c:v>
                </c:pt>
                <c:pt idx="16" formatCode="0.0">
                  <c:v>102.621852</c:v>
                </c:pt>
                <c:pt idx="17" formatCode="0.0">
                  <c:v>102.31235800000002</c:v>
                </c:pt>
                <c:pt idx="18" formatCode="0.0">
                  <c:v>102.30344249494976</c:v>
                </c:pt>
                <c:pt idx="19" formatCode="0.0">
                  <c:v>103.15378400000002</c:v>
                </c:pt>
                <c:pt idx="20" formatCode="0.0">
                  <c:v>104.28343799999999</c:v>
                </c:pt>
                <c:pt idx="21" formatCode="0.0">
                  <c:v>106.32774041891049</c:v>
                </c:pt>
                <c:pt idx="22" formatCode="0.0">
                  <c:v>109.1818787837024</c:v>
                </c:pt>
                <c:pt idx="23" formatCode="0.0">
                  <c:v>108.16446611285173</c:v>
                </c:pt>
                <c:pt idx="24" formatCode="General">
                  <c:v>106.29925759434663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global et IHPFE'!$B$3:$Z$3</c:f>
              <c:numCache>
                <c:formatCode>0</c:formatCode>
                <c:ptCount val="25"/>
                <c:pt idx="0">
                  <c:v>98.953448448556742</c:v>
                </c:pt>
                <c:pt idx="1">
                  <c:v>102.7</c:v>
                </c:pt>
                <c:pt idx="2">
                  <c:v>102.48</c:v>
                </c:pt>
                <c:pt idx="3">
                  <c:v>102.44</c:v>
                </c:pt>
                <c:pt idx="4">
                  <c:v>102.51</c:v>
                </c:pt>
                <c:pt idx="5">
                  <c:v>104.23</c:v>
                </c:pt>
                <c:pt idx="6">
                  <c:v>104.74</c:v>
                </c:pt>
                <c:pt idx="7">
                  <c:v>103.97</c:v>
                </c:pt>
                <c:pt idx="8" formatCode="0.0">
                  <c:v>104.09</c:v>
                </c:pt>
                <c:pt idx="9" formatCode="0.0">
                  <c:v>104.21</c:v>
                </c:pt>
                <c:pt idx="10" formatCode="General">
                  <c:v>104.32</c:v>
                </c:pt>
                <c:pt idx="11" formatCode="General">
                  <c:v>105.56</c:v>
                </c:pt>
                <c:pt idx="12" formatCode="0.0">
                  <c:v>105.97</c:v>
                </c:pt>
                <c:pt idx="13" formatCode="0.0">
                  <c:v>106.19</c:v>
                </c:pt>
                <c:pt idx="14" formatCode="General">
                  <c:v>106.12</c:v>
                </c:pt>
                <c:pt idx="15" formatCode="0.0">
                  <c:v>106.26</c:v>
                </c:pt>
                <c:pt idx="16" formatCode="0.0">
                  <c:v>105.33</c:v>
                </c:pt>
                <c:pt idx="17" formatCode="0.0">
                  <c:v>104.8</c:v>
                </c:pt>
                <c:pt idx="18" formatCode="0.0">
                  <c:v>104.56829416562344</c:v>
                </c:pt>
                <c:pt idx="19" formatCode="0.0">
                  <c:v>104.66892691855392</c:v>
                </c:pt>
                <c:pt idx="20" formatCode="0.0">
                  <c:v>105.14007150715071</c:v>
                </c:pt>
                <c:pt idx="21" formatCode="0.0">
                  <c:v>105.6675296591801</c:v>
                </c:pt>
                <c:pt idx="22" formatCode="0.0">
                  <c:v>106.84455909299248</c:v>
                </c:pt>
                <c:pt idx="23" formatCode="0.0">
                  <c:v>106.83671947366405</c:v>
                </c:pt>
                <c:pt idx="24" formatCode="General">
                  <c:v>105.66950166667647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20414016"/>
        <c:axId val="-320413472"/>
      </c:lineChart>
      <c:dateAx>
        <c:axId val="-32041401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32041347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320413472"/>
        <c:scaling>
          <c:orientation val="minMax"/>
          <c:min val="98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32041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3601576501966363E-2"/>
          <c:y val="0.90878118390540985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global et produits alime'!$B$2:$Z$2</c:f>
              <c:numCache>
                <c:formatCode>0</c:formatCode>
                <c:ptCount val="25"/>
                <c:pt idx="0">
                  <c:v>100.13558900000001</c:v>
                </c:pt>
                <c:pt idx="1">
                  <c:v>99.654730000000001</c:v>
                </c:pt>
                <c:pt idx="2">
                  <c:v>100.45093699999998</c:v>
                </c:pt>
                <c:pt idx="3">
                  <c:v>102.25340300000002</c:v>
                </c:pt>
                <c:pt idx="4">
                  <c:v>101.45709399999998</c:v>
                </c:pt>
                <c:pt idx="5">
                  <c:v>103.134863</c:v>
                </c:pt>
                <c:pt idx="6">
                  <c:v>104.170368</c:v>
                </c:pt>
                <c:pt idx="7">
                  <c:v>103.70098599999997</c:v>
                </c:pt>
                <c:pt idx="8" formatCode="0.00">
                  <c:v>103.78508400000001</c:v>
                </c:pt>
                <c:pt idx="9" formatCode="0.0">
                  <c:v>104.54825599999999</c:v>
                </c:pt>
                <c:pt idx="10" formatCode="0.0">
                  <c:v>104.40264599999999</c:v>
                </c:pt>
                <c:pt idx="11" formatCode="0.0">
                  <c:v>105.36057199999999</c:v>
                </c:pt>
                <c:pt idx="12" formatCode="0.0">
                  <c:v>104.81240799999999</c:v>
                </c:pt>
                <c:pt idx="13" formatCode="0.0">
                  <c:v>104.49181</c:v>
                </c:pt>
                <c:pt idx="14" formatCode="0.0">
                  <c:v>104.92507599999998</c:v>
                </c:pt>
                <c:pt idx="15" formatCode="0.0">
                  <c:v>104.40885400000002</c:v>
                </c:pt>
                <c:pt idx="16" formatCode="0.0">
                  <c:v>102.621852</c:v>
                </c:pt>
                <c:pt idx="17" formatCode="0.0">
                  <c:v>102.31235800000002</c:v>
                </c:pt>
                <c:pt idx="18" formatCode="0.0">
                  <c:v>102.30344249494976</c:v>
                </c:pt>
                <c:pt idx="19" formatCode="0.0">
                  <c:v>103.15378400000002</c:v>
                </c:pt>
                <c:pt idx="20" formatCode="0.0">
                  <c:v>104.28343799999999</c:v>
                </c:pt>
                <c:pt idx="21" formatCode="0.0">
                  <c:v>106.32774041891049</c:v>
                </c:pt>
                <c:pt idx="22" formatCode="0.0">
                  <c:v>109.1818787837024</c:v>
                </c:pt>
                <c:pt idx="23" formatCode="0.0">
                  <c:v>108.16446611285173</c:v>
                </c:pt>
                <c:pt idx="24" formatCode="0.0">
                  <c:v>106.29925759434663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global et produits alime'!$B$3:$Z$3</c:f>
              <c:numCache>
                <c:formatCode>0</c:formatCode>
                <c:ptCount val="25"/>
                <c:pt idx="0">
                  <c:v>97.67</c:v>
                </c:pt>
                <c:pt idx="1">
                  <c:v>93.47</c:v>
                </c:pt>
                <c:pt idx="2">
                  <c:v>96.77</c:v>
                </c:pt>
                <c:pt idx="3">
                  <c:v>99.5</c:v>
                </c:pt>
                <c:pt idx="4">
                  <c:v>97</c:v>
                </c:pt>
                <c:pt idx="5">
                  <c:v>101.52</c:v>
                </c:pt>
                <c:pt idx="6">
                  <c:v>103.57</c:v>
                </c:pt>
                <c:pt idx="7">
                  <c:v>102.41</c:v>
                </c:pt>
                <c:pt idx="8" formatCode="0.00">
                  <c:v>103.04</c:v>
                </c:pt>
                <c:pt idx="9" formatCode="0.0">
                  <c:v>105.37</c:v>
                </c:pt>
                <c:pt idx="10" formatCode="General">
                  <c:v>105.24</c:v>
                </c:pt>
                <c:pt idx="11" formatCode="General">
                  <c:v>105.62</c:v>
                </c:pt>
                <c:pt idx="12" formatCode="0.0">
                  <c:v>103.94</c:v>
                </c:pt>
                <c:pt idx="13" formatCode="0.0">
                  <c:v>102.34</c:v>
                </c:pt>
                <c:pt idx="14" formatCode="0.0">
                  <c:v>104.07</c:v>
                </c:pt>
                <c:pt idx="15" formatCode="0.0">
                  <c:v>102.85</c:v>
                </c:pt>
                <c:pt idx="16" formatCode="0.0">
                  <c:v>101.19</c:v>
                </c:pt>
                <c:pt idx="17" formatCode="0.0">
                  <c:v>101.22</c:v>
                </c:pt>
                <c:pt idx="18" formatCode="0.0">
                  <c:v>101.04047365516433</c:v>
                </c:pt>
                <c:pt idx="19" formatCode="0.0">
                  <c:v>103.58</c:v>
                </c:pt>
                <c:pt idx="20" formatCode="0.0">
                  <c:v>106.02</c:v>
                </c:pt>
                <c:pt idx="21" formatCode="0.0">
                  <c:v>110.73483228683401</c:v>
                </c:pt>
                <c:pt idx="22" formatCode="0.0">
                  <c:v>117.779791355133</c:v>
                </c:pt>
                <c:pt idx="23" formatCode="0.0">
                  <c:v>114.96949195861799</c:v>
                </c:pt>
                <c:pt idx="24" formatCode="0.0">
                  <c:v>110.011076927185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16855184"/>
        <c:axId val="-1616863888"/>
      </c:lineChart>
      <c:dateAx>
        <c:axId val="-161685518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616863888"/>
        <c:crossesAt val="90"/>
        <c:auto val="1"/>
        <c:lblOffset val="100"/>
        <c:baseTimeUnit val="months"/>
        <c:majorUnit val="1"/>
        <c:majorTimeUnit val="months"/>
      </c:dateAx>
      <c:valAx>
        <c:axId val="-1616863888"/>
        <c:scaling>
          <c:orientation val="minMax"/>
          <c:min val="9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61685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56733082277758762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 formatCode="0.0">
                  <c:v>100.71</c:v>
                </c:pt>
                <c:pt idx="1">
                  <c:v>99.32</c:v>
                </c:pt>
                <c:pt idx="2" formatCode="0.0">
                  <c:v>99.7</c:v>
                </c:pt>
                <c:pt idx="3" formatCode="0.0">
                  <c:v>104.4</c:v>
                </c:pt>
                <c:pt idx="4">
                  <c:v>103.36</c:v>
                </c:pt>
                <c:pt idx="5" formatCode="0.0">
                  <c:v>103.83</c:v>
                </c:pt>
                <c:pt idx="6">
                  <c:v>103.3</c:v>
                </c:pt>
                <c:pt idx="7" formatCode="0.0">
                  <c:v>104.18</c:v>
                </c:pt>
                <c:pt idx="8">
                  <c:v>103.62</c:v>
                </c:pt>
                <c:pt idx="9">
                  <c:v>103.25</c:v>
                </c:pt>
                <c:pt idx="10">
                  <c:v>103.18</c:v>
                </c:pt>
                <c:pt idx="11" formatCode="0.0">
                  <c:v>103.29</c:v>
                </c:pt>
                <c:pt idx="12" formatCode="0.0">
                  <c:v>103.11</c:v>
                </c:pt>
                <c:pt idx="13" formatCode="0.0">
                  <c:v>105.38</c:v>
                </c:pt>
                <c:pt idx="14">
                  <c:v>101.92</c:v>
                </c:pt>
                <c:pt idx="15" formatCode="0.0">
                  <c:v>100.66</c:v>
                </c:pt>
                <c:pt idx="16" formatCode="0.0">
                  <c:v>97.55</c:v>
                </c:pt>
                <c:pt idx="17" formatCode="0.0">
                  <c:v>98.28</c:v>
                </c:pt>
                <c:pt idx="18" formatCode="0.0">
                  <c:v>97.674804430216724</c:v>
                </c:pt>
                <c:pt idx="19" formatCode="0.0">
                  <c:v>97.35</c:v>
                </c:pt>
                <c:pt idx="20" formatCode="0.0">
                  <c:v>97.99</c:v>
                </c:pt>
                <c:pt idx="21" formatCode="0.0">
                  <c:v>100.857210159301</c:v>
                </c:pt>
                <c:pt idx="22" formatCode="0.0">
                  <c:v>102.324151992797</c:v>
                </c:pt>
                <c:pt idx="23" formatCode="0.0">
                  <c:v>102.58845090865999</c:v>
                </c:pt>
                <c:pt idx="24">
                  <c:v>102.26160287857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 formatCode="0.0">
                  <c:v>100.11</c:v>
                </c:pt>
                <c:pt idx="1">
                  <c:v>110.34</c:v>
                </c:pt>
                <c:pt idx="2" formatCode="0.0">
                  <c:v>106.17</c:v>
                </c:pt>
                <c:pt idx="3" formatCode="0.0">
                  <c:v>108.15</c:v>
                </c:pt>
                <c:pt idx="4">
                  <c:v>110.47</c:v>
                </c:pt>
                <c:pt idx="5" formatCode="0.0">
                  <c:v>108.89</c:v>
                </c:pt>
                <c:pt idx="6">
                  <c:v>110.34</c:v>
                </c:pt>
                <c:pt idx="7" formatCode="0.0">
                  <c:v>108.28</c:v>
                </c:pt>
                <c:pt idx="8">
                  <c:v>107.29</c:v>
                </c:pt>
                <c:pt idx="9">
                  <c:v>106.67</c:v>
                </c:pt>
                <c:pt idx="10">
                  <c:v>105.72</c:v>
                </c:pt>
                <c:pt idx="11" formatCode="0.0">
                  <c:v>112.01</c:v>
                </c:pt>
                <c:pt idx="12" formatCode="0.0">
                  <c:v>111.69</c:v>
                </c:pt>
                <c:pt idx="13" formatCode="0.0">
                  <c:v>111.88</c:v>
                </c:pt>
                <c:pt idx="14">
                  <c:v>111.94</c:v>
                </c:pt>
                <c:pt idx="15" formatCode="0.0">
                  <c:v>111.47</c:v>
                </c:pt>
                <c:pt idx="16" formatCode="0.0">
                  <c:v>107.55</c:v>
                </c:pt>
                <c:pt idx="17" formatCode="0.0">
                  <c:v>104.57</c:v>
                </c:pt>
                <c:pt idx="18" formatCode="0.0">
                  <c:v>105.0558416730935</c:v>
                </c:pt>
                <c:pt idx="19" formatCode="0.0">
                  <c:v>105.04</c:v>
                </c:pt>
                <c:pt idx="20" formatCode="0.0">
                  <c:v>106.11</c:v>
                </c:pt>
                <c:pt idx="21" formatCode="0.0">
                  <c:v>105.568242073059</c:v>
                </c:pt>
                <c:pt idx="22" formatCode="0.0">
                  <c:v>105.739200115203</c:v>
                </c:pt>
                <c:pt idx="23" formatCode="0.0">
                  <c:v>105.76159954070999</c:v>
                </c:pt>
                <c:pt idx="24">
                  <c:v>105.67708015441799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16861168"/>
        <c:axId val="-1616853552"/>
      </c:lineChart>
      <c:dateAx>
        <c:axId val="-161686116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6168535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616853552"/>
        <c:scaling>
          <c:orientation val="minMax"/>
          <c:min val="95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61686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8024939739675394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origine'!$B$2:$Z$2</c:f>
              <c:numCache>
                <c:formatCode>0</c:formatCode>
                <c:ptCount val="25"/>
                <c:pt idx="0">
                  <c:v>98.569924508133496</c:v>
                </c:pt>
                <c:pt idx="1">
                  <c:v>101.46</c:v>
                </c:pt>
                <c:pt idx="2">
                  <c:v>101.33</c:v>
                </c:pt>
                <c:pt idx="3">
                  <c:v>101.81</c:v>
                </c:pt>
                <c:pt idx="4">
                  <c:v>101.93</c:v>
                </c:pt>
                <c:pt idx="5">
                  <c:v>101.54</c:v>
                </c:pt>
                <c:pt idx="6">
                  <c:v>102.85</c:v>
                </c:pt>
                <c:pt idx="7">
                  <c:v>102.08</c:v>
                </c:pt>
                <c:pt idx="8" formatCode="General">
                  <c:v>101.62</c:v>
                </c:pt>
                <c:pt idx="9" formatCode="General">
                  <c:v>101.67</c:v>
                </c:pt>
                <c:pt idx="10" formatCode="General">
                  <c:v>101.47</c:v>
                </c:pt>
                <c:pt idx="11" formatCode="General">
                  <c:v>102.11</c:v>
                </c:pt>
                <c:pt idx="12" formatCode="0.0">
                  <c:v>102.53</c:v>
                </c:pt>
                <c:pt idx="13" formatCode="0.0">
                  <c:v>102.28</c:v>
                </c:pt>
                <c:pt idx="14" formatCode="0.0">
                  <c:v>102.37</c:v>
                </c:pt>
                <c:pt idx="15" formatCode="0.0">
                  <c:v>102.22</c:v>
                </c:pt>
                <c:pt idx="16" formatCode="0.0">
                  <c:v>101.4</c:v>
                </c:pt>
                <c:pt idx="17" formatCode="0.0">
                  <c:v>101.33</c:v>
                </c:pt>
                <c:pt idx="18" formatCode="0.0">
                  <c:v>101.14924783602839</c:v>
                </c:pt>
                <c:pt idx="19" formatCode="0.0">
                  <c:v>101.27040490879355</c:v>
                </c:pt>
                <c:pt idx="20" formatCode="0.0">
                  <c:v>101.53138203952606</c:v>
                </c:pt>
                <c:pt idx="21" formatCode="0.0">
                  <c:v>101.41929622882527</c:v>
                </c:pt>
                <c:pt idx="22" formatCode="0.0">
                  <c:v>101.68221461853814</c:v>
                </c:pt>
                <c:pt idx="23" formatCode="0.0">
                  <c:v>101.70117978118367</c:v>
                </c:pt>
                <c:pt idx="24" formatCode="General">
                  <c:v>101.77483585818874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  <c:pt idx="13">
                  <c:v>44075</c:v>
                </c:pt>
                <c:pt idx="14">
                  <c:v>44105</c:v>
                </c:pt>
                <c:pt idx="15">
                  <c:v>44136</c:v>
                </c:pt>
                <c:pt idx="16">
                  <c:v>44166</c:v>
                </c:pt>
                <c:pt idx="17">
                  <c:v>44197</c:v>
                </c:pt>
                <c:pt idx="18">
                  <c:v>44228</c:v>
                </c:pt>
                <c:pt idx="19">
                  <c:v>44256</c:v>
                </c:pt>
                <c:pt idx="20">
                  <c:v>44287</c:v>
                </c:pt>
                <c:pt idx="21">
                  <c:v>44317</c:v>
                </c:pt>
                <c:pt idx="22">
                  <c:v>44348</c:v>
                </c:pt>
                <c:pt idx="23">
                  <c:v>44378</c:v>
                </c:pt>
                <c:pt idx="24">
                  <c:v>44409</c:v>
                </c:pt>
              </c:numCache>
            </c:numRef>
          </c:cat>
          <c:val>
            <c:numRef>
              <c:f>'Indice origine'!$B$3:$Z$3</c:f>
              <c:numCache>
                <c:formatCode>0</c:formatCode>
                <c:ptCount val="25"/>
                <c:pt idx="0">
                  <c:v>100.72737867909467</c:v>
                </c:pt>
                <c:pt idx="1">
                  <c:v>99.75</c:v>
                </c:pt>
                <c:pt idx="2">
                  <c:v>100.81</c:v>
                </c:pt>
                <c:pt idx="3">
                  <c:v>105.14</c:v>
                </c:pt>
                <c:pt idx="4">
                  <c:v>101.81</c:v>
                </c:pt>
                <c:pt idx="5">
                  <c:v>104.42</c:v>
                </c:pt>
                <c:pt idx="6">
                  <c:v>105.01</c:v>
                </c:pt>
                <c:pt idx="7">
                  <c:v>104.9</c:v>
                </c:pt>
                <c:pt idx="8" formatCode="General">
                  <c:v>105.35</c:v>
                </c:pt>
                <c:pt idx="9" formatCode="General">
                  <c:v>106.59</c:v>
                </c:pt>
                <c:pt idx="10" formatCode="General">
                  <c:v>106.36</c:v>
                </c:pt>
                <c:pt idx="11" formatCode="General">
                  <c:v>107.29</c:v>
                </c:pt>
                <c:pt idx="12" formatCode="0.0">
                  <c:v>106.72</c:v>
                </c:pt>
                <c:pt idx="13" formatCode="0.0">
                  <c:v>106.29</c:v>
                </c:pt>
                <c:pt idx="14" formatCode="0.0">
                  <c:v>106.89</c:v>
                </c:pt>
                <c:pt idx="15" formatCode="0.0">
                  <c:v>107.27</c:v>
                </c:pt>
                <c:pt idx="16" formatCode="0.0">
                  <c:v>103.85</c:v>
                </c:pt>
                <c:pt idx="17" formatCode="0.0">
                  <c:v>103.17</c:v>
                </c:pt>
                <c:pt idx="18" formatCode="0.0">
                  <c:v>102.39003617308856</c:v>
                </c:pt>
                <c:pt idx="19" formatCode="0.0">
                  <c:v>103.78487362236905</c:v>
                </c:pt>
                <c:pt idx="20" formatCode="0.0">
                  <c:v>105.2054774109464</c:v>
                </c:pt>
                <c:pt idx="21" formatCode="0.0">
                  <c:v>108.46099649888423</c:v>
                </c:pt>
                <c:pt idx="22" formatCode="0.0">
                  <c:v>112.75073520760183</c:v>
                </c:pt>
                <c:pt idx="23" formatCode="0.0">
                  <c:v>111.01792413688307</c:v>
                </c:pt>
                <c:pt idx="24" formatCode="General">
                  <c:v>108.22085373359023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16854640"/>
        <c:axId val="-1616851920"/>
      </c:lineChart>
      <c:dateAx>
        <c:axId val="-161685464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61685192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616851920"/>
        <c:scaling>
          <c:orientation val="minMax"/>
          <c:min val="95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61685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347917322834647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8FF9-5D8F-441D-89AC-DDFCAB27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6</Pages>
  <Words>2478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26</cp:revision>
  <cp:lastPrinted>2021-09-09T08:42:00Z</cp:lastPrinted>
  <dcterms:created xsi:type="dcterms:W3CDTF">2021-09-06T08:41:00Z</dcterms:created>
  <dcterms:modified xsi:type="dcterms:W3CDTF">2021-09-09T08:45:00Z</dcterms:modified>
</cp:coreProperties>
</file>